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428" w:rsidRDefault="00706428">
      <w:pPr>
        <w:rPr>
          <w:rFonts w:ascii="ＭＳ ゴシック" w:eastAsia="ＭＳ ゴシック" w:hAnsi="ＭＳ ゴシック"/>
          <w:sz w:val="22"/>
          <w:shd w:val="pct15" w:color="auto" w:fill="FFFFFF"/>
        </w:rPr>
      </w:pPr>
    </w:p>
    <w:p w:rsidR="00706428" w:rsidRDefault="00D90AD7">
      <w:pPr>
        <w:rPr>
          <w:rFonts w:ascii="ＭＳ ゴシック" w:eastAsia="ＭＳ ゴシック" w:hAnsi="ＭＳ ゴシック"/>
          <w:sz w:val="28"/>
          <w:shd w:val="pct15" w:color="auto" w:fill="FFFFFF"/>
        </w:rPr>
      </w:pPr>
      <w:r>
        <w:rPr>
          <w:rFonts w:ascii="ＭＳ ゴシック" w:eastAsia="ＭＳ ゴシック" w:hAnsi="ＭＳ ゴシック" w:hint="eastAsia"/>
          <w:sz w:val="28"/>
          <w:shd w:val="pct15" w:color="auto" w:fill="FFFFFF"/>
        </w:rPr>
        <w:t>「川西町第８期障害福祉計画及び第４期障害児福祉計画」の策定について</w:t>
      </w:r>
    </w:p>
    <w:p w:rsidR="00706428" w:rsidRDefault="00706428">
      <w:pPr>
        <w:rPr>
          <w:rFonts w:ascii="ＭＳ ゴシック" w:eastAsia="ＭＳ ゴシック" w:hAnsi="ＭＳ ゴシック"/>
        </w:rPr>
      </w:pPr>
    </w:p>
    <w:p w:rsidR="00706428" w:rsidRDefault="00D90AD7">
      <w:pPr>
        <w:rPr>
          <w:rFonts w:ascii="ＭＳ ゴシック" w:eastAsia="ＭＳ ゴシック" w:hAnsi="ＭＳ ゴシック"/>
          <w:u w:val="single"/>
        </w:rPr>
      </w:pPr>
      <w:r>
        <w:rPr>
          <w:rFonts w:ascii="ＭＳ ゴシック" w:eastAsia="ＭＳ ゴシック" w:hAnsi="ＭＳ ゴシック" w:hint="eastAsia"/>
          <w:sz w:val="24"/>
          <w:u w:val="single"/>
        </w:rPr>
        <w:t>１．計画の位置づけ</w:t>
      </w:r>
    </w:p>
    <w:p w:rsidR="00706428" w:rsidRDefault="00D90AD7">
      <w:pPr>
        <w:rPr>
          <w:rFonts w:ascii="ＭＳ 明朝" w:eastAsia="ＭＳ 明朝" w:hAnsi="ＭＳ 明朝"/>
        </w:rPr>
      </w:pPr>
      <w:r>
        <w:rPr>
          <w:rFonts w:ascii="ＭＳ 明朝" w:eastAsia="ＭＳ 明朝" w:hAnsi="ＭＳ 明朝" w:hint="eastAsia"/>
        </w:rPr>
        <w:t>●障害者計画</w:t>
      </w:r>
    </w:p>
    <w:p w:rsidR="00706428" w:rsidRDefault="00D90AD7">
      <w:pPr>
        <w:ind w:leftChars="100" w:left="210" w:firstLineChars="100" w:firstLine="210"/>
        <w:rPr>
          <w:rFonts w:ascii="ＭＳ 明朝" w:eastAsia="ＭＳ 明朝" w:hAnsi="ＭＳ 明朝"/>
        </w:rPr>
      </w:pPr>
      <w:r>
        <w:rPr>
          <w:rFonts w:ascii="ＭＳ 明朝" w:eastAsia="ＭＳ 明朝" w:hAnsi="ＭＳ 明朝" w:hint="eastAsia"/>
        </w:rPr>
        <w:t>障害者基本法第</w:t>
      </w:r>
      <w:r>
        <w:rPr>
          <w:rFonts w:ascii="ＭＳ 明朝" w:eastAsia="ＭＳ 明朝" w:hAnsi="ＭＳ 明朝"/>
        </w:rPr>
        <w:t>11</w:t>
      </w:r>
      <w:r>
        <w:rPr>
          <w:rFonts w:ascii="ＭＳ 明朝" w:eastAsia="ＭＳ 明朝" w:hAnsi="ＭＳ 明朝"/>
        </w:rPr>
        <w:t>条第３項の規定に基づく「市町村障害者計画」として、障</w:t>
      </w:r>
      <w:r>
        <w:rPr>
          <w:rFonts w:ascii="ＭＳ 明朝" w:eastAsia="ＭＳ 明朝" w:hAnsi="ＭＳ 明朝" w:hint="eastAsia"/>
        </w:rPr>
        <w:t>がい</w:t>
      </w:r>
      <w:r>
        <w:rPr>
          <w:rFonts w:ascii="ＭＳ 明朝" w:eastAsia="ＭＳ 明朝" w:hAnsi="ＭＳ 明朝"/>
        </w:rPr>
        <w:t>者施策全般にかかわる理念や基本的な方針、目標を定める計画</w:t>
      </w:r>
      <w:r>
        <w:rPr>
          <w:rFonts w:ascii="ＭＳ 明朝" w:eastAsia="ＭＳ 明朝" w:hAnsi="ＭＳ 明朝" w:hint="eastAsia"/>
        </w:rPr>
        <w:t>です</w:t>
      </w:r>
      <w:r>
        <w:rPr>
          <w:rFonts w:ascii="ＭＳ 明朝" w:eastAsia="ＭＳ 明朝" w:hAnsi="ＭＳ 明朝"/>
        </w:rPr>
        <w:t>。</w:t>
      </w:r>
    </w:p>
    <w:p w:rsidR="00706428" w:rsidRDefault="00D90AD7">
      <w:pPr>
        <w:rPr>
          <w:rFonts w:ascii="ＭＳ 明朝" w:eastAsia="ＭＳ 明朝" w:hAnsi="ＭＳ 明朝"/>
        </w:rPr>
      </w:pPr>
      <w:r>
        <w:rPr>
          <w:rFonts w:ascii="ＭＳ 明朝" w:eastAsia="ＭＳ 明朝" w:hAnsi="ＭＳ 明朝" w:hint="eastAsia"/>
        </w:rPr>
        <w:t>●障害福祉計画</w:t>
      </w:r>
    </w:p>
    <w:p w:rsidR="00706428" w:rsidRDefault="00D90AD7">
      <w:pPr>
        <w:ind w:leftChars="100" w:left="210" w:firstLineChars="100" w:firstLine="210"/>
        <w:rPr>
          <w:rFonts w:ascii="ＭＳ 明朝" w:eastAsia="ＭＳ 明朝" w:hAnsi="ＭＳ 明朝"/>
        </w:rPr>
      </w:pPr>
      <w:r>
        <w:rPr>
          <w:rFonts w:ascii="ＭＳ 明朝" w:eastAsia="ＭＳ 明朝" w:hAnsi="ＭＳ 明朝" w:hint="eastAsia"/>
        </w:rPr>
        <w:t>障害者総合支援法第</w:t>
      </w:r>
      <w:r>
        <w:rPr>
          <w:rFonts w:ascii="ＭＳ 明朝" w:eastAsia="ＭＳ 明朝" w:hAnsi="ＭＳ 明朝"/>
        </w:rPr>
        <w:t>88</w:t>
      </w:r>
      <w:r>
        <w:rPr>
          <w:rFonts w:ascii="ＭＳ 明朝" w:eastAsia="ＭＳ 明朝" w:hAnsi="ＭＳ 明朝"/>
        </w:rPr>
        <w:t>条第１項の規定に基づく「市町村障害福祉計画」であり、国の基本指針に基づき、障害福祉サービスや相談支援、地域生活支援事業を充実させるために必要なサービス量を見込むとともに、提供体制の確保に関する方策を定める計画です。</w:t>
      </w:r>
    </w:p>
    <w:p w:rsidR="00706428" w:rsidRDefault="00D90AD7">
      <w:pPr>
        <w:rPr>
          <w:rFonts w:ascii="ＭＳ 明朝" w:eastAsia="ＭＳ 明朝" w:hAnsi="ＭＳ 明朝"/>
        </w:rPr>
      </w:pPr>
      <w:r>
        <w:rPr>
          <w:rFonts w:ascii="ＭＳ 明朝" w:eastAsia="ＭＳ 明朝" w:hAnsi="ＭＳ 明朝" w:hint="eastAsia"/>
        </w:rPr>
        <w:t>●障害児福祉計画</w:t>
      </w:r>
    </w:p>
    <w:p w:rsidR="00706428" w:rsidRDefault="00D90AD7">
      <w:pPr>
        <w:ind w:leftChars="100" w:left="210" w:firstLineChars="100" w:firstLine="210"/>
        <w:rPr>
          <w:rFonts w:ascii="ＭＳ 明朝" w:eastAsia="ＭＳ 明朝" w:hAnsi="ＭＳ 明朝"/>
        </w:rPr>
      </w:pPr>
      <w:r>
        <w:rPr>
          <w:rFonts w:ascii="ＭＳ 明朝" w:eastAsia="ＭＳ 明朝" w:hAnsi="ＭＳ 明朝" w:hint="eastAsia"/>
        </w:rPr>
        <w:t>児童福祉法第</w:t>
      </w:r>
      <w:r>
        <w:rPr>
          <w:rFonts w:ascii="ＭＳ 明朝" w:eastAsia="ＭＳ 明朝" w:hAnsi="ＭＳ 明朝"/>
        </w:rPr>
        <w:t>33</w:t>
      </w:r>
      <w:r>
        <w:rPr>
          <w:rFonts w:ascii="ＭＳ 明朝" w:eastAsia="ＭＳ 明朝" w:hAnsi="ＭＳ 明朝"/>
        </w:rPr>
        <w:t>条の</w:t>
      </w:r>
      <w:r>
        <w:rPr>
          <w:rFonts w:ascii="ＭＳ 明朝" w:eastAsia="ＭＳ 明朝" w:hAnsi="ＭＳ 明朝"/>
        </w:rPr>
        <w:t>20</w:t>
      </w:r>
      <w:r>
        <w:rPr>
          <w:rFonts w:ascii="ＭＳ 明朝" w:eastAsia="ＭＳ 明朝" w:hAnsi="ＭＳ 明朝"/>
        </w:rPr>
        <w:t>第１項の規定に基づく「市町村障害児福祉計画」であり、</w:t>
      </w:r>
      <w:r>
        <w:rPr>
          <w:rFonts w:ascii="ＭＳ 明朝" w:eastAsia="ＭＳ 明朝" w:hAnsi="ＭＳ 明朝" w:hint="eastAsia"/>
        </w:rPr>
        <w:t>障害児通所支援や障害児相談支援</w:t>
      </w:r>
      <w:r>
        <w:rPr>
          <w:rFonts w:ascii="ＭＳ 明朝" w:eastAsia="ＭＳ 明朝" w:hAnsi="ＭＳ 明朝"/>
        </w:rPr>
        <w:t>の</w:t>
      </w:r>
      <w:r>
        <w:rPr>
          <w:rFonts w:ascii="ＭＳ 明朝" w:eastAsia="ＭＳ 明朝" w:hAnsi="ＭＳ 明朝" w:hint="eastAsia"/>
        </w:rPr>
        <w:t>見込み量や</w:t>
      </w:r>
      <w:r>
        <w:rPr>
          <w:rFonts w:ascii="ＭＳ 明朝" w:eastAsia="ＭＳ 明朝" w:hAnsi="ＭＳ 明朝"/>
        </w:rPr>
        <w:t>提供体制の</w:t>
      </w:r>
      <w:r>
        <w:rPr>
          <w:rFonts w:ascii="ＭＳ 明朝" w:eastAsia="ＭＳ 明朝" w:hAnsi="ＭＳ 明朝" w:hint="eastAsia"/>
        </w:rPr>
        <w:t>確保に</w:t>
      </w:r>
      <w:r>
        <w:rPr>
          <w:rFonts w:ascii="ＭＳ 明朝" w:eastAsia="ＭＳ 明朝" w:hAnsi="ＭＳ 明朝"/>
        </w:rPr>
        <w:t>関する方策を定める計画です。</w:t>
      </w:r>
    </w:p>
    <w:p w:rsidR="00706428" w:rsidRDefault="00D90AD7">
      <w:pPr>
        <w:ind w:leftChars="100" w:left="210" w:firstLineChars="100" w:firstLine="210"/>
        <w:rPr>
          <w:rFonts w:ascii="ＭＳ 明朝" w:eastAsia="ＭＳ 明朝" w:hAnsi="ＭＳ 明朝"/>
        </w:rPr>
      </w:pPr>
      <w:r>
        <w:rPr>
          <w:noProof/>
        </w:rPr>
        <w:drawing>
          <wp:anchor distT="0" distB="0" distL="114300" distR="114300" simplePos="0" relativeHeight="12" behindDoc="0" locked="0" layoutInCell="1" hidden="0" allowOverlap="1">
            <wp:simplePos x="0" y="0"/>
            <wp:positionH relativeFrom="column">
              <wp:posOffset>403860</wp:posOffset>
            </wp:positionH>
            <wp:positionV relativeFrom="paragraph">
              <wp:posOffset>128905</wp:posOffset>
            </wp:positionV>
            <wp:extent cx="5715000" cy="2957830"/>
            <wp:effectExtent l="0" t="0" r="0" b="0"/>
            <wp:wrapNone/>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a:picLocks noChangeAspect="1" noChangeArrowheads="1"/>
                    </pic:cNvPicPr>
                  </pic:nvPicPr>
                  <pic:blipFill>
                    <a:blip r:embed="rId7"/>
                    <a:stretch>
                      <a:fillRect/>
                    </a:stretch>
                  </pic:blipFill>
                  <pic:spPr>
                    <a:xfrm>
                      <a:off x="0" y="0"/>
                      <a:ext cx="5715000" cy="2957830"/>
                    </a:xfrm>
                    <a:prstGeom prst="rect">
                      <a:avLst/>
                    </a:prstGeom>
                    <a:noFill/>
                    <a:ln>
                      <a:noFill/>
                    </a:ln>
                  </pic:spPr>
                </pic:pic>
              </a:graphicData>
            </a:graphic>
          </wp:anchor>
        </w:drawing>
      </w: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10"/>
        <w:rPr>
          <w:rFonts w:ascii="ＭＳ 明朝" w:eastAsia="ＭＳ 明朝" w:hAnsi="ＭＳ 明朝"/>
        </w:rPr>
      </w:pPr>
    </w:p>
    <w:p w:rsidR="00706428" w:rsidRDefault="00706428">
      <w:pPr>
        <w:ind w:leftChars="100" w:left="210" w:firstLineChars="100" w:firstLine="240"/>
        <w:rPr>
          <w:rFonts w:ascii="ＭＳ ゴシック" w:eastAsia="ＭＳ ゴシック" w:hAnsi="ＭＳ ゴシック"/>
          <w:sz w:val="24"/>
          <w:u w:val="single"/>
        </w:rPr>
      </w:pPr>
    </w:p>
    <w:p w:rsidR="00706428" w:rsidRDefault="00706428">
      <w:pPr>
        <w:rPr>
          <w:rFonts w:ascii="ＭＳ ゴシック" w:eastAsia="ＭＳ ゴシック" w:hAnsi="ＭＳ ゴシック"/>
          <w:sz w:val="24"/>
          <w:u w:val="single"/>
        </w:rPr>
      </w:pPr>
    </w:p>
    <w:p w:rsidR="00706428" w:rsidRDefault="00706428">
      <w:pPr>
        <w:rPr>
          <w:rFonts w:ascii="ＭＳ ゴシック" w:eastAsia="ＭＳ ゴシック" w:hAnsi="ＭＳ ゴシック"/>
          <w:sz w:val="24"/>
          <w:u w:val="single"/>
        </w:rPr>
      </w:pPr>
    </w:p>
    <w:p w:rsidR="00706428" w:rsidRDefault="00706428">
      <w:pPr>
        <w:rPr>
          <w:rFonts w:ascii="ＭＳ ゴシック" w:eastAsia="ＭＳ ゴシック" w:hAnsi="ＭＳ ゴシック"/>
          <w:sz w:val="24"/>
          <w:u w:val="single"/>
        </w:rPr>
      </w:pPr>
    </w:p>
    <w:tbl>
      <w:tblPr>
        <w:tblpPr w:leftFromText="142" w:rightFromText="142" w:vertAnchor="page" w:horzAnchor="margin" w:tblpXSpec="center" w:tblpY="11551"/>
        <w:tblW w:w="955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left w:w="85" w:type="dxa"/>
          <w:bottom w:w="28" w:type="dxa"/>
          <w:right w:w="85" w:type="dxa"/>
        </w:tblCellMar>
        <w:tblLook w:val="0000" w:firstRow="0" w:lastRow="0" w:firstColumn="0" w:lastColumn="0" w:noHBand="0" w:noVBand="0"/>
      </w:tblPr>
      <w:tblGrid>
        <w:gridCol w:w="1213"/>
        <w:gridCol w:w="2579"/>
        <w:gridCol w:w="2869"/>
        <w:gridCol w:w="2897"/>
      </w:tblGrid>
      <w:tr w:rsidR="00706428">
        <w:trPr>
          <w:trHeight w:val="402"/>
        </w:trPr>
        <w:tc>
          <w:tcPr>
            <w:tcW w:w="1213" w:type="dxa"/>
            <w:shd w:val="clear" w:color="auto" w:fill="D9D9D9" w:themeFill="background1" w:themeFillShade="D9"/>
            <w:vAlign w:val="center"/>
          </w:tcPr>
          <w:p w:rsidR="00706428" w:rsidRDefault="00706428">
            <w:pPr>
              <w:spacing w:line="240" w:lineRule="exact"/>
              <w:jc w:val="center"/>
              <w:rPr>
                <w:rFonts w:ascii="BIZ UDゴシック" w:eastAsia="BIZ UDゴシック" w:hAnsi="BIZ UDゴシック"/>
                <w:sz w:val="18"/>
              </w:rPr>
            </w:pPr>
          </w:p>
        </w:tc>
        <w:tc>
          <w:tcPr>
            <w:tcW w:w="2579" w:type="dxa"/>
            <w:shd w:val="clear" w:color="auto" w:fill="0070C0"/>
            <w:vAlign w:val="center"/>
          </w:tcPr>
          <w:p w:rsidR="00706428" w:rsidRDefault="00D90AD7">
            <w:pPr>
              <w:spacing w:line="240" w:lineRule="exact"/>
              <w:jc w:val="center"/>
              <w:rPr>
                <w:rFonts w:ascii="BIZ UDゴシック" w:eastAsia="BIZ UDゴシック" w:hAnsi="BIZ UDゴシック"/>
                <w:sz w:val="20"/>
              </w:rPr>
            </w:pPr>
            <w:r>
              <w:rPr>
                <w:rFonts w:ascii="BIZ UDゴシック" w:eastAsia="BIZ UDゴシック" w:hAnsi="BIZ UDゴシック" w:hint="eastAsia"/>
                <w:color w:val="FFFFFF" w:themeColor="background1"/>
                <w:sz w:val="20"/>
              </w:rPr>
              <w:t>障害者計画</w:t>
            </w:r>
          </w:p>
        </w:tc>
        <w:tc>
          <w:tcPr>
            <w:tcW w:w="2869" w:type="dxa"/>
            <w:shd w:val="clear" w:color="auto" w:fill="002060"/>
            <w:vAlign w:val="center"/>
          </w:tcPr>
          <w:p w:rsidR="00706428" w:rsidRDefault="00D90AD7">
            <w:pPr>
              <w:spacing w:line="240" w:lineRule="exact"/>
              <w:jc w:val="center"/>
              <w:rPr>
                <w:rFonts w:ascii="BIZ UDゴシック" w:eastAsia="BIZ UDゴシック" w:hAnsi="BIZ UDゴシック"/>
                <w:sz w:val="20"/>
              </w:rPr>
            </w:pPr>
            <w:r>
              <w:rPr>
                <w:rFonts w:ascii="BIZ UDゴシック" w:eastAsia="BIZ UDゴシック" w:hAnsi="BIZ UDゴシック" w:hint="eastAsia"/>
                <w:sz w:val="20"/>
              </w:rPr>
              <w:t>障害福祉計画</w:t>
            </w:r>
          </w:p>
        </w:tc>
        <w:tc>
          <w:tcPr>
            <w:tcW w:w="2897" w:type="dxa"/>
            <w:shd w:val="clear" w:color="auto" w:fill="002060"/>
            <w:vAlign w:val="center"/>
          </w:tcPr>
          <w:p w:rsidR="00706428" w:rsidRDefault="00D90AD7">
            <w:pPr>
              <w:spacing w:line="240" w:lineRule="exact"/>
              <w:jc w:val="center"/>
              <w:rPr>
                <w:rFonts w:ascii="BIZ UDゴシック" w:eastAsia="BIZ UDゴシック" w:hAnsi="BIZ UDゴシック"/>
                <w:sz w:val="20"/>
              </w:rPr>
            </w:pPr>
            <w:r>
              <w:rPr>
                <w:rFonts w:ascii="BIZ UDゴシック" w:eastAsia="BIZ UDゴシック" w:hAnsi="BIZ UDゴシック" w:hint="eastAsia"/>
                <w:sz w:val="20"/>
              </w:rPr>
              <w:t>障害児福祉計画</w:t>
            </w:r>
          </w:p>
        </w:tc>
      </w:tr>
      <w:tr w:rsidR="00706428">
        <w:trPr>
          <w:trHeight w:val="402"/>
        </w:trPr>
        <w:tc>
          <w:tcPr>
            <w:tcW w:w="1213" w:type="dxa"/>
            <w:tcBorders>
              <w:bottom w:val="single" w:sz="4" w:space="0" w:color="A6A6A6" w:themeColor="background1" w:themeShade="A6"/>
            </w:tcBorders>
            <w:shd w:val="clear" w:color="auto" w:fill="FFFFFF" w:themeFill="background1"/>
            <w:vAlign w:val="center"/>
          </w:tcPr>
          <w:p w:rsidR="00706428" w:rsidRDefault="00D90AD7">
            <w:pPr>
              <w:spacing w:line="220" w:lineRule="exact"/>
              <w:jc w:val="center"/>
              <w:rPr>
                <w:rFonts w:ascii="BIZ UDゴシック" w:eastAsia="BIZ UDゴシック" w:hAnsi="BIZ UDゴシック"/>
                <w:color w:val="000000"/>
                <w:sz w:val="20"/>
              </w:rPr>
            </w:pPr>
            <w:r>
              <w:rPr>
                <w:rFonts w:ascii="BIZ UDゴシック" w:eastAsia="BIZ UDゴシック" w:hAnsi="BIZ UDゴシック" w:hint="eastAsia"/>
                <w:color w:val="000000"/>
                <w:sz w:val="20"/>
              </w:rPr>
              <w:t>内容</w:t>
            </w:r>
          </w:p>
        </w:tc>
        <w:tc>
          <w:tcPr>
            <w:tcW w:w="2579" w:type="dxa"/>
            <w:shd w:val="clear" w:color="auto" w:fill="FFFFFF" w:themeFill="background1"/>
            <w:vAlign w:val="center"/>
          </w:tcPr>
          <w:p w:rsidR="00706428" w:rsidRDefault="00D90AD7">
            <w:pPr>
              <w:spacing w:line="220" w:lineRule="exact"/>
              <w:rPr>
                <w:rFonts w:ascii="BIZ UDゴシック" w:eastAsia="BIZ UDゴシック" w:hAnsi="BIZ UDゴシック"/>
                <w:color w:val="000000"/>
                <w:sz w:val="18"/>
              </w:rPr>
            </w:pPr>
            <w:r>
              <w:rPr>
                <w:rFonts w:ascii="BIZ UDゴシック" w:eastAsia="BIZ UDゴシック" w:hAnsi="BIZ UDゴシック" w:hint="eastAsia"/>
                <w:color w:val="000000"/>
                <w:sz w:val="18"/>
              </w:rPr>
              <w:t>障害者施策の基本方針について定める計画</w:t>
            </w:r>
          </w:p>
        </w:tc>
        <w:tc>
          <w:tcPr>
            <w:tcW w:w="2869" w:type="dxa"/>
            <w:shd w:val="clear" w:color="auto" w:fill="FFFFFF" w:themeFill="background1"/>
            <w:vAlign w:val="center"/>
          </w:tcPr>
          <w:p w:rsidR="00706428" w:rsidRDefault="00D90AD7">
            <w:pPr>
              <w:spacing w:line="220" w:lineRule="exact"/>
              <w:rPr>
                <w:rFonts w:ascii="BIZ UDゴシック" w:eastAsia="BIZ UDゴシック" w:hAnsi="BIZ UDゴシック"/>
                <w:color w:val="000000"/>
                <w:sz w:val="18"/>
              </w:rPr>
            </w:pPr>
            <w:r>
              <w:rPr>
                <w:rFonts w:ascii="BIZ UDゴシック" w:eastAsia="BIZ UDゴシック" w:hAnsi="BIZ UDゴシック" w:hint="eastAsia"/>
                <w:color w:val="000000"/>
                <w:sz w:val="18"/>
              </w:rPr>
              <w:t>障害福祉サービス、相談支援、地域生活支援事業の提供体制の確保に関する計画</w:t>
            </w:r>
          </w:p>
        </w:tc>
        <w:tc>
          <w:tcPr>
            <w:tcW w:w="2897" w:type="dxa"/>
            <w:shd w:val="clear" w:color="auto" w:fill="FFFFFF" w:themeFill="background1"/>
            <w:vAlign w:val="center"/>
          </w:tcPr>
          <w:p w:rsidR="00706428" w:rsidRDefault="00D90AD7">
            <w:pPr>
              <w:spacing w:line="220" w:lineRule="exact"/>
              <w:rPr>
                <w:rFonts w:ascii="BIZ UDゴシック" w:eastAsia="BIZ UDゴシック" w:hAnsi="BIZ UDゴシック"/>
                <w:color w:val="000000"/>
                <w:sz w:val="18"/>
              </w:rPr>
            </w:pPr>
            <w:r>
              <w:rPr>
                <w:rFonts w:ascii="BIZ UDゴシック" w:eastAsia="BIZ UDゴシック" w:hAnsi="BIZ UDゴシック" w:hint="eastAsia"/>
                <w:color w:val="000000"/>
                <w:sz w:val="18"/>
              </w:rPr>
              <w:t>障害児通所支援及び障害児相談支援の提供体制の確保に関する計画</w:t>
            </w:r>
          </w:p>
        </w:tc>
      </w:tr>
      <w:tr w:rsidR="00706428">
        <w:trPr>
          <w:trHeight w:val="402"/>
        </w:trPr>
        <w:tc>
          <w:tcPr>
            <w:tcW w:w="1213" w:type="dxa"/>
            <w:shd w:val="clear" w:color="auto" w:fill="FFFFFF" w:themeFill="background1"/>
            <w:vAlign w:val="center"/>
          </w:tcPr>
          <w:p w:rsidR="00706428" w:rsidRDefault="00D90AD7">
            <w:pPr>
              <w:spacing w:line="220" w:lineRule="exact"/>
              <w:jc w:val="center"/>
              <w:rPr>
                <w:rFonts w:ascii="BIZ UDゴシック" w:eastAsia="BIZ UDゴシック" w:hAnsi="BIZ UDゴシック"/>
                <w:color w:val="000000"/>
                <w:sz w:val="20"/>
              </w:rPr>
            </w:pPr>
            <w:r>
              <w:rPr>
                <w:rFonts w:ascii="BIZ UDゴシック" w:eastAsia="BIZ UDゴシック" w:hAnsi="BIZ UDゴシック" w:hint="eastAsia"/>
                <w:color w:val="000000"/>
                <w:sz w:val="20"/>
              </w:rPr>
              <w:t>根拠法</w:t>
            </w:r>
          </w:p>
        </w:tc>
        <w:tc>
          <w:tcPr>
            <w:tcW w:w="2579" w:type="dxa"/>
            <w:shd w:val="clear" w:color="auto" w:fill="FFFFFF" w:themeFill="background1"/>
            <w:vAlign w:val="center"/>
          </w:tcPr>
          <w:p w:rsidR="00706428" w:rsidRDefault="00D90AD7">
            <w:pPr>
              <w:spacing w:line="220" w:lineRule="exact"/>
              <w:rPr>
                <w:rFonts w:ascii="BIZ UDゴシック" w:eastAsia="BIZ UDゴシック" w:hAnsi="BIZ UDゴシック"/>
                <w:color w:val="000000"/>
                <w:sz w:val="18"/>
              </w:rPr>
            </w:pPr>
            <w:r>
              <w:rPr>
                <w:rFonts w:ascii="BIZ UDゴシック" w:eastAsia="BIZ UDゴシック" w:hAnsi="BIZ UDゴシック" w:hint="eastAsia"/>
                <w:color w:val="000000"/>
                <w:sz w:val="18"/>
              </w:rPr>
              <w:t>障害者基本法</w:t>
            </w:r>
          </w:p>
        </w:tc>
        <w:tc>
          <w:tcPr>
            <w:tcW w:w="2869" w:type="dxa"/>
            <w:shd w:val="clear" w:color="auto" w:fill="FFFFFF" w:themeFill="background1"/>
            <w:vAlign w:val="center"/>
          </w:tcPr>
          <w:p w:rsidR="00706428" w:rsidRDefault="00D90AD7">
            <w:pPr>
              <w:spacing w:line="220" w:lineRule="exact"/>
              <w:rPr>
                <w:rFonts w:ascii="BIZ UDゴシック" w:eastAsia="BIZ UDゴシック" w:hAnsi="BIZ UDゴシック"/>
                <w:color w:val="000000"/>
                <w:sz w:val="18"/>
              </w:rPr>
            </w:pPr>
            <w:r>
              <w:rPr>
                <w:rFonts w:ascii="BIZ UDゴシック" w:eastAsia="BIZ UDゴシック" w:hAnsi="BIZ UDゴシック" w:hint="eastAsia"/>
                <w:color w:val="000000"/>
                <w:sz w:val="18"/>
              </w:rPr>
              <w:t>障害者総合支援法</w:t>
            </w:r>
          </w:p>
        </w:tc>
        <w:tc>
          <w:tcPr>
            <w:tcW w:w="2897" w:type="dxa"/>
            <w:shd w:val="clear" w:color="auto" w:fill="FFFFFF" w:themeFill="background1"/>
            <w:vAlign w:val="center"/>
          </w:tcPr>
          <w:p w:rsidR="00706428" w:rsidRDefault="00D90AD7">
            <w:pPr>
              <w:spacing w:line="220" w:lineRule="exact"/>
              <w:rPr>
                <w:rFonts w:ascii="BIZ UDゴシック" w:eastAsia="BIZ UDゴシック" w:hAnsi="BIZ UDゴシック"/>
                <w:color w:val="000000"/>
                <w:sz w:val="18"/>
              </w:rPr>
            </w:pPr>
            <w:r>
              <w:rPr>
                <w:rFonts w:ascii="BIZ UDゴシック" w:eastAsia="BIZ UDゴシック" w:hAnsi="BIZ UDゴシック" w:hint="eastAsia"/>
                <w:color w:val="000000"/>
                <w:sz w:val="18"/>
              </w:rPr>
              <w:t>児童福祉法</w:t>
            </w:r>
          </w:p>
        </w:tc>
      </w:tr>
      <w:tr w:rsidR="00706428">
        <w:trPr>
          <w:trHeight w:val="402"/>
        </w:trPr>
        <w:tc>
          <w:tcPr>
            <w:tcW w:w="1213" w:type="dxa"/>
            <w:shd w:val="clear" w:color="auto" w:fill="FFFFFF" w:themeFill="background1"/>
            <w:vAlign w:val="center"/>
          </w:tcPr>
          <w:p w:rsidR="00706428" w:rsidRDefault="00D90AD7">
            <w:pPr>
              <w:spacing w:line="220" w:lineRule="exact"/>
              <w:jc w:val="center"/>
              <w:rPr>
                <w:rFonts w:ascii="BIZ UDゴシック" w:eastAsia="BIZ UDゴシック" w:hAnsi="BIZ UDゴシック"/>
                <w:color w:val="000000"/>
                <w:sz w:val="20"/>
              </w:rPr>
            </w:pPr>
            <w:r>
              <w:rPr>
                <w:rFonts w:ascii="BIZ UDゴシック" w:eastAsia="BIZ UDゴシック" w:hAnsi="BIZ UDゴシック" w:hint="eastAsia"/>
                <w:color w:val="000000"/>
                <w:sz w:val="20"/>
              </w:rPr>
              <w:t>国</w:t>
            </w:r>
          </w:p>
        </w:tc>
        <w:tc>
          <w:tcPr>
            <w:tcW w:w="2579" w:type="dxa"/>
            <w:shd w:val="clear" w:color="auto" w:fill="FFFFFF" w:themeFill="background1"/>
            <w:vAlign w:val="center"/>
          </w:tcPr>
          <w:p w:rsidR="00706428" w:rsidRDefault="00D90AD7">
            <w:pPr>
              <w:spacing w:line="220" w:lineRule="exact"/>
              <w:rPr>
                <w:rFonts w:ascii="BIZ UDゴシック" w:eastAsia="BIZ UDゴシック" w:hAnsi="BIZ UDゴシック"/>
                <w:sz w:val="18"/>
              </w:rPr>
            </w:pPr>
            <w:r>
              <w:rPr>
                <w:rFonts w:ascii="BIZ UDゴシック" w:eastAsia="BIZ UDゴシック" w:hAnsi="BIZ UDゴシック" w:hint="eastAsia"/>
                <w:sz w:val="18"/>
              </w:rPr>
              <w:t>（第５次）障害者基本計画</w:t>
            </w:r>
          </w:p>
          <w:p w:rsidR="00706428" w:rsidRDefault="00D90AD7">
            <w:pPr>
              <w:spacing w:line="220" w:lineRule="exact"/>
              <w:ind w:left="180" w:hangingChars="100" w:hanging="180"/>
              <w:rPr>
                <w:rFonts w:ascii="BIZ UDゴシック" w:eastAsia="BIZ UDゴシック" w:hAnsi="BIZ UDゴシック"/>
                <w:sz w:val="18"/>
              </w:rPr>
            </w:pPr>
            <w:r>
              <w:rPr>
                <w:rFonts w:ascii="BIZ UDゴシック" w:eastAsia="BIZ UDゴシック" w:hAnsi="BIZ UDゴシック" w:hint="eastAsia"/>
                <w:sz w:val="18"/>
              </w:rPr>
              <w:t>（令和５（</w:t>
            </w:r>
            <w:r>
              <w:rPr>
                <w:rFonts w:ascii="BIZ UDゴシック" w:eastAsia="BIZ UDゴシック" w:hAnsi="BIZ UDゴシック" w:hint="eastAsia"/>
                <w:sz w:val="18"/>
              </w:rPr>
              <w:t>2023</w:t>
            </w:r>
            <w:r>
              <w:rPr>
                <w:rFonts w:ascii="BIZ UDゴシック" w:eastAsia="BIZ UDゴシック" w:hAnsi="BIZ UDゴシック" w:hint="eastAsia"/>
                <w:sz w:val="18"/>
              </w:rPr>
              <w:t>）年度</w:t>
            </w:r>
            <w:r>
              <w:rPr>
                <w:rFonts w:ascii="BIZ UDゴシック" w:eastAsia="BIZ UDゴシック" w:hAnsi="BIZ UDゴシック"/>
                <w:sz w:val="18"/>
              </w:rPr>
              <w:br/>
            </w:r>
            <w:r>
              <w:rPr>
                <w:rFonts w:ascii="BIZ UDゴシック" w:eastAsia="BIZ UDゴシック" w:hAnsi="BIZ UDゴシック" w:hint="eastAsia"/>
                <w:sz w:val="18"/>
              </w:rPr>
              <w:t>～令和９（</w:t>
            </w:r>
            <w:r>
              <w:rPr>
                <w:rFonts w:ascii="BIZ UDゴシック" w:eastAsia="BIZ UDゴシック" w:hAnsi="BIZ UDゴシック" w:hint="eastAsia"/>
                <w:sz w:val="18"/>
              </w:rPr>
              <w:t>2027</w:t>
            </w:r>
            <w:r>
              <w:rPr>
                <w:rFonts w:ascii="BIZ UDゴシック" w:eastAsia="BIZ UDゴシック" w:hAnsi="BIZ UDゴシック" w:hint="eastAsia"/>
                <w:sz w:val="18"/>
              </w:rPr>
              <w:t>）年度）</w:t>
            </w:r>
          </w:p>
        </w:tc>
        <w:tc>
          <w:tcPr>
            <w:tcW w:w="5766" w:type="dxa"/>
            <w:gridSpan w:val="2"/>
            <w:shd w:val="clear" w:color="auto" w:fill="FFFFFF" w:themeFill="background1"/>
            <w:vAlign w:val="center"/>
          </w:tcPr>
          <w:p w:rsidR="00706428" w:rsidRDefault="00D90AD7">
            <w:pPr>
              <w:spacing w:line="220" w:lineRule="exact"/>
              <w:rPr>
                <w:rFonts w:ascii="BIZ UDゴシック" w:eastAsia="BIZ UDゴシック" w:hAnsi="BIZ UDゴシック"/>
                <w:sz w:val="18"/>
              </w:rPr>
            </w:pPr>
            <w:r>
              <w:rPr>
                <w:rFonts w:ascii="BIZ UDゴシック" w:eastAsia="BIZ UDゴシック" w:hAnsi="BIZ UDゴシック" w:hint="eastAsia"/>
                <w:sz w:val="18"/>
              </w:rPr>
              <w:t>「障害福祉サービス等及び障害児通所支援等の円滑な実施を確保するための基本的な指針」</w:t>
            </w:r>
          </w:p>
          <w:p w:rsidR="00706428" w:rsidRDefault="00D90AD7">
            <w:pPr>
              <w:spacing w:line="220" w:lineRule="exact"/>
              <w:rPr>
                <w:rFonts w:ascii="BIZ UDゴシック" w:eastAsia="BIZ UDゴシック" w:hAnsi="BIZ UDゴシック"/>
                <w:sz w:val="18"/>
              </w:rPr>
            </w:pPr>
            <w:r>
              <w:rPr>
                <w:rFonts w:ascii="BIZ UDゴシック" w:eastAsia="BIZ UDゴシック" w:hAnsi="BIZ UDゴシック" w:hint="eastAsia"/>
                <w:sz w:val="18"/>
              </w:rPr>
              <w:t>（市町村及び都道府県が障害福祉計画及び障害児福祉計画を定めるに当たっての基本的な方針）</w:t>
            </w:r>
          </w:p>
        </w:tc>
      </w:tr>
      <w:tr w:rsidR="00706428">
        <w:trPr>
          <w:trHeight w:val="402"/>
        </w:trPr>
        <w:tc>
          <w:tcPr>
            <w:tcW w:w="1213" w:type="dxa"/>
            <w:shd w:val="clear" w:color="auto" w:fill="FFFFFF" w:themeFill="background1"/>
            <w:vAlign w:val="center"/>
          </w:tcPr>
          <w:p w:rsidR="00706428" w:rsidRDefault="00D90AD7">
            <w:pPr>
              <w:spacing w:line="220" w:lineRule="exact"/>
              <w:jc w:val="center"/>
              <w:rPr>
                <w:rFonts w:ascii="BIZ UDゴシック" w:eastAsia="BIZ UDゴシック" w:hAnsi="BIZ UDゴシック"/>
                <w:color w:val="000000"/>
                <w:sz w:val="20"/>
              </w:rPr>
            </w:pPr>
            <w:r>
              <w:rPr>
                <w:rFonts w:ascii="BIZ UDゴシック" w:eastAsia="BIZ UDゴシック" w:hAnsi="BIZ UDゴシック" w:hint="eastAsia"/>
                <w:color w:val="000000"/>
                <w:sz w:val="20"/>
              </w:rPr>
              <w:t>県</w:t>
            </w:r>
          </w:p>
        </w:tc>
        <w:tc>
          <w:tcPr>
            <w:tcW w:w="8345" w:type="dxa"/>
            <w:gridSpan w:val="3"/>
            <w:shd w:val="clear" w:color="auto" w:fill="FFFFFF" w:themeFill="background1"/>
            <w:vAlign w:val="center"/>
          </w:tcPr>
          <w:p w:rsidR="00706428" w:rsidRDefault="00D90AD7">
            <w:pPr>
              <w:spacing w:line="220" w:lineRule="exact"/>
              <w:rPr>
                <w:rFonts w:ascii="BIZ UDゴシック" w:eastAsia="BIZ UDゴシック" w:hAnsi="BIZ UDゴシック"/>
                <w:color w:val="000000" w:themeColor="text1"/>
                <w:sz w:val="18"/>
              </w:rPr>
            </w:pPr>
            <w:r>
              <w:rPr>
                <w:rFonts w:ascii="BIZ UDゴシック" w:eastAsia="BIZ UDゴシック" w:hAnsi="BIZ UDゴシック" w:hint="eastAsia"/>
                <w:color w:val="000000" w:themeColor="text1"/>
                <w:sz w:val="18"/>
              </w:rPr>
              <w:t>奈良県障害者計画（令和７（</w:t>
            </w:r>
            <w:r>
              <w:rPr>
                <w:rFonts w:ascii="BIZ UDゴシック" w:eastAsia="BIZ UDゴシック" w:hAnsi="BIZ UDゴシック" w:hint="eastAsia"/>
                <w:color w:val="000000" w:themeColor="text1"/>
                <w:sz w:val="18"/>
              </w:rPr>
              <w:t>2025</w:t>
            </w:r>
            <w:r>
              <w:rPr>
                <w:rFonts w:ascii="BIZ UDゴシック" w:eastAsia="BIZ UDゴシック" w:hAnsi="BIZ UDゴシック" w:hint="eastAsia"/>
                <w:color w:val="000000" w:themeColor="text1"/>
                <w:sz w:val="18"/>
              </w:rPr>
              <w:t>）年度～令和１１（</w:t>
            </w:r>
            <w:r>
              <w:rPr>
                <w:rFonts w:ascii="BIZ UDゴシック" w:eastAsia="BIZ UDゴシック" w:hAnsi="BIZ UDゴシック" w:hint="eastAsia"/>
                <w:color w:val="000000" w:themeColor="text1"/>
                <w:sz w:val="18"/>
              </w:rPr>
              <w:t>2029</w:t>
            </w:r>
            <w:r>
              <w:rPr>
                <w:rFonts w:ascii="BIZ UDゴシック" w:eastAsia="BIZ UDゴシック" w:hAnsi="BIZ UDゴシック" w:hint="eastAsia"/>
                <w:color w:val="000000" w:themeColor="text1"/>
                <w:sz w:val="18"/>
              </w:rPr>
              <w:t>）年度）</w:t>
            </w:r>
          </w:p>
        </w:tc>
      </w:tr>
      <w:tr w:rsidR="00706428">
        <w:trPr>
          <w:trHeight w:val="402"/>
        </w:trPr>
        <w:tc>
          <w:tcPr>
            <w:tcW w:w="1213" w:type="dxa"/>
            <w:shd w:val="clear" w:color="auto" w:fill="FFFFFF" w:themeFill="background1"/>
            <w:vAlign w:val="center"/>
          </w:tcPr>
          <w:p w:rsidR="00706428" w:rsidRDefault="00D90AD7">
            <w:pPr>
              <w:spacing w:line="220" w:lineRule="exact"/>
              <w:jc w:val="center"/>
              <w:rPr>
                <w:rFonts w:ascii="BIZ UDゴシック" w:eastAsia="BIZ UDゴシック" w:hAnsi="BIZ UDゴシック"/>
                <w:color w:val="000000" w:themeColor="text1"/>
                <w:sz w:val="20"/>
                <w:highlight w:val="yellow"/>
              </w:rPr>
            </w:pPr>
            <w:r>
              <w:rPr>
                <w:rFonts w:ascii="BIZ UDゴシック" w:eastAsia="BIZ UDゴシック" w:hAnsi="BIZ UDゴシック" w:hint="eastAsia"/>
                <w:color w:val="000000" w:themeColor="text1"/>
                <w:sz w:val="20"/>
              </w:rPr>
              <w:t>川西町</w:t>
            </w:r>
          </w:p>
        </w:tc>
        <w:tc>
          <w:tcPr>
            <w:tcW w:w="8345" w:type="dxa"/>
            <w:gridSpan w:val="3"/>
            <w:shd w:val="clear" w:color="auto" w:fill="FFFFFF" w:themeFill="background1"/>
            <w:vAlign w:val="center"/>
          </w:tcPr>
          <w:p w:rsidR="00706428" w:rsidRDefault="00D90AD7">
            <w:pPr>
              <w:spacing w:line="220" w:lineRule="exact"/>
              <w:rPr>
                <w:rFonts w:ascii="BIZ UDゴシック" w:eastAsia="BIZ UDゴシック" w:hAnsi="BIZ UDゴシック"/>
                <w:color w:val="000000" w:themeColor="text1"/>
                <w:sz w:val="18"/>
                <w:highlight w:val="yellow"/>
              </w:rPr>
            </w:pPr>
            <w:r>
              <w:rPr>
                <w:rFonts w:ascii="BIZ UDゴシック" w:eastAsia="BIZ UDゴシック" w:hAnsi="BIZ UDゴシック" w:hint="eastAsia"/>
                <w:color w:val="000000" w:themeColor="text1"/>
                <w:sz w:val="18"/>
              </w:rPr>
              <w:t>川西町第４次障害者計画　第７期障害福祉計画・第３期障害児福祉計画（現行計画）</w:t>
            </w:r>
          </w:p>
        </w:tc>
      </w:tr>
    </w:tbl>
    <w:p w:rsidR="00706428" w:rsidRDefault="00706428">
      <w:pPr>
        <w:rPr>
          <w:rFonts w:ascii="ＭＳ ゴシック" w:eastAsia="ＭＳ ゴシック" w:hAnsi="ＭＳ ゴシック"/>
          <w:sz w:val="24"/>
          <w:u w:val="single"/>
        </w:rPr>
      </w:pPr>
    </w:p>
    <w:p w:rsidR="00706428" w:rsidRDefault="00706428">
      <w:pPr>
        <w:rPr>
          <w:rFonts w:ascii="ＭＳ ゴシック" w:eastAsia="ＭＳ ゴシック" w:hAnsi="ＭＳ ゴシック"/>
          <w:sz w:val="24"/>
          <w:u w:val="single"/>
        </w:rPr>
      </w:pPr>
    </w:p>
    <w:p w:rsidR="00706428" w:rsidRDefault="00D90AD7">
      <w:pPr>
        <w:widowControl/>
        <w:rPr>
          <w:rFonts w:ascii="ＭＳ ゴシック" w:eastAsia="ＭＳ ゴシック" w:hAnsi="ＭＳ ゴシック"/>
          <w:sz w:val="24"/>
          <w:u w:val="single"/>
        </w:rPr>
      </w:pPr>
      <w:r>
        <w:rPr>
          <w:rFonts w:ascii="ＭＳ ゴシック" w:eastAsia="ＭＳ ゴシック" w:hAnsi="ＭＳ ゴシック"/>
          <w:sz w:val="24"/>
          <w:u w:val="single"/>
        </w:rPr>
        <w:br w:type="page"/>
      </w:r>
    </w:p>
    <w:p w:rsidR="00706428" w:rsidRDefault="00706428">
      <w:pPr>
        <w:rPr>
          <w:rFonts w:ascii="ＭＳ ゴシック" w:eastAsia="ＭＳ ゴシック" w:hAnsi="ＭＳ ゴシック"/>
          <w:sz w:val="24"/>
          <w:u w:val="single"/>
        </w:rPr>
      </w:pPr>
    </w:p>
    <w:p w:rsidR="00706428" w:rsidRDefault="00D90AD7">
      <w:pPr>
        <w:rPr>
          <w:rFonts w:ascii="ＭＳ ゴシック" w:eastAsia="ＭＳ ゴシック" w:hAnsi="ＭＳ ゴシック"/>
          <w:u w:val="single"/>
        </w:rPr>
      </w:pPr>
      <w:r>
        <w:rPr>
          <w:rFonts w:ascii="ＭＳ ゴシック" w:eastAsia="ＭＳ ゴシック" w:hAnsi="ＭＳ ゴシック" w:hint="eastAsia"/>
          <w:sz w:val="24"/>
          <w:u w:val="single"/>
        </w:rPr>
        <w:t>２．計画の期間</w:t>
      </w:r>
    </w:p>
    <w:p w:rsidR="00706428" w:rsidRDefault="00D90AD7">
      <w:pPr>
        <w:ind w:leftChars="100" w:left="210" w:firstLineChars="100" w:firstLine="210"/>
        <w:rPr>
          <w:rFonts w:ascii="ＭＳ 明朝" w:eastAsia="ＭＳ 明朝" w:hAnsi="ＭＳ 明朝"/>
        </w:rPr>
      </w:pPr>
      <w:r>
        <w:rPr>
          <w:rFonts w:ascii="ＭＳ 明朝" w:eastAsia="ＭＳ 明朝" w:hAnsi="ＭＳ 明朝"/>
        </w:rPr>
        <w:t>「川西町第４次障害者計画」は令和６年度から令和</w:t>
      </w:r>
      <w:r>
        <w:rPr>
          <w:rFonts w:ascii="ＭＳ 明朝" w:eastAsia="ＭＳ 明朝" w:hAnsi="ＭＳ 明朝"/>
        </w:rPr>
        <w:t>11</w:t>
      </w:r>
      <w:r>
        <w:rPr>
          <w:rFonts w:ascii="ＭＳ 明朝" w:eastAsia="ＭＳ 明朝" w:hAnsi="ＭＳ 明朝"/>
        </w:rPr>
        <w:t>年度までの６年間、「川西町第７期障害福祉計画・第３期障害児福祉計画」の計画期間は、令和６年度から令和８年度の３年間</w:t>
      </w:r>
      <w:r>
        <w:rPr>
          <w:rFonts w:ascii="ＭＳ 明朝" w:eastAsia="ＭＳ 明朝" w:hAnsi="ＭＳ 明朝" w:hint="eastAsia"/>
        </w:rPr>
        <w:t>となっていることから、</w:t>
      </w:r>
      <w:r>
        <w:rPr>
          <w:rFonts w:ascii="ＭＳ 明朝" w:eastAsia="ＭＳ 明朝" w:hAnsi="ＭＳ 明朝"/>
        </w:rPr>
        <w:t>「川西町第</w:t>
      </w:r>
      <w:r>
        <w:rPr>
          <w:rFonts w:ascii="ＭＳ 明朝" w:eastAsia="ＭＳ 明朝" w:hAnsi="ＭＳ 明朝" w:hint="eastAsia"/>
        </w:rPr>
        <w:t>８</w:t>
      </w:r>
      <w:r>
        <w:rPr>
          <w:rFonts w:ascii="ＭＳ 明朝" w:eastAsia="ＭＳ 明朝" w:hAnsi="ＭＳ 明朝"/>
        </w:rPr>
        <w:t>期障害福祉計画・第</w:t>
      </w:r>
      <w:r>
        <w:rPr>
          <w:rFonts w:ascii="ＭＳ 明朝" w:eastAsia="ＭＳ 明朝" w:hAnsi="ＭＳ 明朝" w:hint="eastAsia"/>
        </w:rPr>
        <w:t>４</w:t>
      </w:r>
      <w:r>
        <w:rPr>
          <w:rFonts w:ascii="ＭＳ 明朝" w:eastAsia="ＭＳ 明朝" w:hAnsi="ＭＳ 明朝"/>
        </w:rPr>
        <w:t>期障害児福祉計画」</w:t>
      </w:r>
      <w:r>
        <w:rPr>
          <w:rFonts w:ascii="ＭＳ 明朝" w:eastAsia="ＭＳ 明朝" w:hAnsi="ＭＳ 明朝" w:hint="eastAsia"/>
        </w:rPr>
        <w:t>は計画期間を令和９年度から令和</w:t>
      </w:r>
      <w:r>
        <w:rPr>
          <w:rFonts w:ascii="ＭＳ 明朝" w:eastAsia="ＭＳ 明朝" w:hAnsi="ＭＳ 明朝" w:hint="eastAsia"/>
        </w:rPr>
        <w:t>11</w:t>
      </w:r>
      <w:r>
        <w:rPr>
          <w:rFonts w:ascii="ＭＳ 明朝" w:eastAsia="ＭＳ 明朝" w:hAnsi="ＭＳ 明朝" w:hint="eastAsia"/>
        </w:rPr>
        <w:t>年度までの３年間として策定します。</w:t>
      </w:r>
    </w:p>
    <w:p w:rsidR="00706428" w:rsidRDefault="00D90AD7">
      <w:pPr>
        <w:ind w:leftChars="100" w:left="210" w:firstLineChars="100" w:firstLine="210"/>
        <w:rPr>
          <w:rFonts w:ascii="ＭＳ 明朝" w:eastAsia="ＭＳ 明朝" w:hAnsi="ＭＳ 明朝"/>
        </w:rPr>
      </w:pPr>
      <w:r>
        <w:rPr>
          <w:noProof/>
        </w:rPr>
        <mc:AlternateContent>
          <mc:Choice Requires="wps">
            <w:drawing>
              <wp:anchor distT="0" distB="0" distL="114300" distR="114300" simplePos="0" relativeHeight="5" behindDoc="0" locked="0" layoutInCell="1" hidden="0" allowOverlap="1">
                <wp:simplePos x="0" y="0"/>
                <wp:positionH relativeFrom="column">
                  <wp:posOffset>3762375</wp:posOffset>
                </wp:positionH>
                <wp:positionV relativeFrom="paragraph">
                  <wp:posOffset>1190625</wp:posOffset>
                </wp:positionV>
                <wp:extent cx="2428875" cy="923925"/>
                <wp:effectExtent l="19685" t="19685" r="29845" b="20320"/>
                <wp:wrapNone/>
                <wp:docPr id="1027" name="正方形/長方形 4"/>
                <wp:cNvGraphicFramePr/>
                <a:graphic xmlns:a="http://schemas.openxmlformats.org/drawingml/2006/main">
                  <a:graphicData uri="http://schemas.microsoft.com/office/word/2010/wordprocessingShape">
                    <wps:wsp>
                      <wps:cNvSpPr/>
                      <wps:spPr>
                        <a:xfrm>
                          <a:off x="0" y="0"/>
                          <a:ext cx="2428875" cy="923925"/>
                        </a:xfrm>
                        <a:prstGeom prst="rect">
                          <a:avLst/>
                        </a:prstGeom>
                        <a:noFill/>
                        <a:ln w="28575">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xmlns:cx4="http://schemas.microsoft.com/office/drawing/2016/5/10/chartex" xmlns:cx3="http://schemas.microsoft.com/office/drawing/2016/5/9/chartex" xmlns:cx2="http://schemas.microsoft.com/office/drawing/2015/10/21/chartex">
            <w:pict>
              <v:rect id="正方形/長方形 4" style="mso-position-vertical-relative:text;z-index:5;mso-wrap-distance-left:9pt;width:191.25pt;height:72.75pt;mso-position-horizontal-relative:text;position:absolute;margin-left:296.25pt;margin-top:93.75pt;mso-wrap-distance-bottom:0pt;mso-wrap-distance-right:9pt;mso-wrap-distance-top:0pt;" o:spid="_x0000_s1027" o:allowincell="t" o:allowoverlap="t" filled="f" stroked="t" strokecolor="#ff0000" strokeweight="2.25pt" o:spt="1">
                <v:fill/>
                <v:stroke linestyle="single" miterlimit="8" endcap="flat" dashstyle="dash" filltype="solid"/>
                <v:textbox style="layout-flow:horizontal;"/>
                <v:imagedata o:title=""/>
                <w10:wrap type="none" anchorx="text" anchory="text"/>
              </v:rect>
            </w:pict>
          </mc:Fallback>
        </mc:AlternateContent>
      </w:r>
    </w:p>
    <w:tbl>
      <w:tblPr>
        <w:tblStyle w:val="af4"/>
        <w:tblW w:w="9351" w:type="dxa"/>
        <w:tblInd w:w="279"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Look w:val="04A0" w:firstRow="1" w:lastRow="0" w:firstColumn="1" w:lastColumn="0" w:noHBand="0" w:noVBand="1"/>
      </w:tblPr>
      <w:tblGrid>
        <w:gridCol w:w="2126"/>
        <w:gridCol w:w="1204"/>
        <w:gridCol w:w="1204"/>
        <w:gridCol w:w="1204"/>
        <w:gridCol w:w="1204"/>
        <w:gridCol w:w="1204"/>
        <w:gridCol w:w="1205"/>
      </w:tblGrid>
      <w:tr w:rsidR="00706428">
        <w:tc>
          <w:tcPr>
            <w:tcW w:w="2126" w:type="dxa"/>
            <w:shd w:val="clear" w:color="auto" w:fill="C1E4F5" w:themeFill="accent1" w:themeFillTint="33"/>
            <w:vAlign w:val="center"/>
          </w:tcPr>
          <w:p w:rsidR="00706428" w:rsidRDefault="00D90AD7">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年度</w:t>
            </w:r>
          </w:p>
        </w:tc>
        <w:tc>
          <w:tcPr>
            <w:tcW w:w="1204" w:type="dxa"/>
            <w:shd w:val="clear" w:color="auto" w:fill="C1E4F5" w:themeFill="accent1" w:themeFillTint="33"/>
            <w:vAlign w:val="center"/>
          </w:tcPr>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令和６</w:t>
            </w:r>
          </w:p>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Pr>
                <w:rFonts w:ascii="BIZ UDゴシック" w:eastAsia="BIZ UDゴシック" w:hAnsi="BIZ UDゴシック" w:hint="eastAsia"/>
                <w:color w:val="000000" w:themeColor="text1"/>
              </w:rPr>
              <w:t>2024</w:t>
            </w:r>
            <w:r>
              <w:rPr>
                <w:rFonts w:ascii="BIZ UDゴシック" w:eastAsia="BIZ UDゴシック" w:hAnsi="BIZ UDゴシック" w:hint="eastAsia"/>
                <w:color w:val="000000" w:themeColor="text1"/>
              </w:rPr>
              <w:t>）</w:t>
            </w:r>
          </w:p>
        </w:tc>
        <w:tc>
          <w:tcPr>
            <w:tcW w:w="1204" w:type="dxa"/>
            <w:shd w:val="clear" w:color="auto" w:fill="C1E4F5" w:themeFill="accent1" w:themeFillTint="33"/>
            <w:vAlign w:val="center"/>
          </w:tcPr>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令和７</w:t>
            </w:r>
          </w:p>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Pr>
                <w:rFonts w:ascii="BIZ UDゴシック" w:eastAsia="BIZ UDゴシック" w:hAnsi="BIZ UDゴシック" w:hint="eastAsia"/>
                <w:color w:val="000000" w:themeColor="text1"/>
              </w:rPr>
              <w:t>2025</w:t>
            </w:r>
            <w:r>
              <w:rPr>
                <w:rFonts w:ascii="BIZ UDゴシック" w:eastAsia="BIZ UDゴシック" w:hAnsi="BIZ UDゴシック" w:hint="eastAsia"/>
                <w:color w:val="000000" w:themeColor="text1"/>
              </w:rPr>
              <w:t>）</w:t>
            </w:r>
          </w:p>
        </w:tc>
        <w:tc>
          <w:tcPr>
            <w:tcW w:w="1204" w:type="dxa"/>
            <w:shd w:val="clear" w:color="auto" w:fill="C1E4F5" w:themeFill="accent1" w:themeFillTint="33"/>
            <w:vAlign w:val="center"/>
          </w:tcPr>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令和８</w:t>
            </w:r>
          </w:p>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Pr>
                <w:rFonts w:ascii="BIZ UDゴシック" w:eastAsia="BIZ UDゴシック" w:hAnsi="BIZ UDゴシック" w:hint="eastAsia"/>
                <w:color w:val="000000" w:themeColor="text1"/>
              </w:rPr>
              <w:t>2026</w:t>
            </w:r>
            <w:r>
              <w:rPr>
                <w:rFonts w:ascii="BIZ UDゴシック" w:eastAsia="BIZ UDゴシック" w:hAnsi="BIZ UDゴシック" w:hint="eastAsia"/>
                <w:color w:val="000000" w:themeColor="text1"/>
              </w:rPr>
              <w:t>）</w:t>
            </w:r>
          </w:p>
        </w:tc>
        <w:tc>
          <w:tcPr>
            <w:tcW w:w="1204" w:type="dxa"/>
            <w:shd w:val="clear" w:color="auto" w:fill="C1E4F5" w:themeFill="accent1" w:themeFillTint="33"/>
            <w:vAlign w:val="center"/>
          </w:tcPr>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令和９</w:t>
            </w:r>
          </w:p>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Pr>
                <w:rFonts w:ascii="BIZ UDゴシック" w:eastAsia="BIZ UDゴシック" w:hAnsi="BIZ UDゴシック" w:hint="eastAsia"/>
                <w:color w:val="000000" w:themeColor="text1"/>
              </w:rPr>
              <w:t>2027</w:t>
            </w:r>
            <w:r>
              <w:rPr>
                <w:rFonts w:ascii="BIZ UDゴシック" w:eastAsia="BIZ UDゴシック" w:hAnsi="BIZ UDゴシック" w:hint="eastAsia"/>
                <w:color w:val="000000" w:themeColor="text1"/>
              </w:rPr>
              <w:t>）</w:t>
            </w:r>
          </w:p>
        </w:tc>
        <w:tc>
          <w:tcPr>
            <w:tcW w:w="1204" w:type="dxa"/>
            <w:shd w:val="clear" w:color="auto" w:fill="C1E4F5" w:themeFill="accent1" w:themeFillTint="33"/>
            <w:vAlign w:val="center"/>
          </w:tcPr>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令和</w:t>
            </w:r>
            <w:r>
              <w:rPr>
                <w:rFonts w:ascii="BIZ UDゴシック" w:eastAsia="BIZ UDゴシック" w:hAnsi="BIZ UDゴシック" w:hint="eastAsia"/>
                <w:color w:val="000000" w:themeColor="text1"/>
              </w:rPr>
              <w:t>10</w:t>
            </w:r>
          </w:p>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Pr>
                <w:rFonts w:ascii="BIZ UDゴシック" w:eastAsia="BIZ UDゴシック" w:hAnsi="BIZ UDゴシック" w:hint="eastAsia"/>
                <w:color w:val="000000" w:themeColor="text1"/>
              </w:rPr>
              <w:t>2028</w:t>
            </w:r>
            <w:r>
              <w:rPr>
                <w:rFonts w:ascii="BIZ UDゴシック" w:eastAsia="BIZ UDゴシック" w:hAnsi="BIZ UDゴシック" w:hint="eastAsia"/>
                <w:color w:val="000000" w:themeColor="text1"/>
              </w:rPr>
              <w:t>）</w:t>
            </w:r>
          </w:p>
        </w:tc>
        <w:tc>
          <w:tcPr>
            <w:tcW w:w="1205" w:type="dxa"/>
            <w:shd w:val="clear" w:color="auto" w:fill="C1E4F5" w:themeFill="accent1" w:themeFillTint="33"/>
            <w:vAlign w:val="center"/>
          </w:tcPr>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令和</w:t>
            </w:r>
            <w:r>
              <w:rPr>
                <w:rFonts w:ascii="BIZ UDゴシック" w:eastAsia="BIZ UDゴシック" w:hAnsi="BIZ UDゴシック" w:hint="eastAsia"/>
                <w:color w:val="000000" w:themeColor="text1"/>
              </w:rPr>
              <w:t>11</w:t>
            </w:r>
          </w:p>
          <w:p w:rsidR="00706428" w:rsidRDefault="00D90AD7">
            <w:pPr>
              <w:spacing w:line="30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w:t>
            </w:r>
            <w:r>
              <w:rPr>
                <w:rFonts w:ascii="BIZ UDゴシック" w:eastAsia="BIZ UDゴシック" w:hAnsi="BIZ UDゴシック" w:hint="eastAsia"/>
                <w:color w:val="000000" w:themeColor="text1"/>
              </w:rPr>
              <w:t>2029</w:t>
            </w:r>
            <w:r>
              <w:rPr>
                <w:rFonts w:ascii="BIZ UDゴシック" w:eastAsia="BIZ UDゴシック" w:hAnsi="BIZ UDゴシック" w:hint="eastAsia"/>
                <w:color w:val="000000" w:themeColor="text1"/>
              </w:rPr>
              <w:t>）</w:t>
            </w:r>
          </w:p>
        </w:tc>
      </w:tr>
      <w:tr w:rsidR="00706428">
        <w:trPr>
          <w:trHeight w:val="227"/>
        </w:trPr>
        <w:tc>
          <w:tcPr>
            <w:tcW w:w="2126"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5" w:type="dxa"/>
            <w:vAlign w:val="center"/>
          </w:tcPr>
          <w:p w:rsidR="00706428" w:rsidRDefault="00706428">
            <w:pPr>
              <w:spacing w:line="160" w:lineRule="exact"/>
              <w:jc w:val="center"/>
              <w:rPr>
                <w:rFonts w:ascii="BIZ UDゴシック" w:eastAsia="BIZ UDゴシック" w:hAnsi="BIZ UDゴシック"/>
              </w:rPr>
            </w:pPr>
          </w:p>
        </w:tc>
      </w:tr>
      <w:tr w:rsidR="00706428">
        <w:trPr>
          <w:trHeight w:val="567"/>
        </w:trPr>
        <w:tc>
          <w:tcPr>
            <w:tcW w:w="2126" w:type="dxa"/>
            <w:vAlign w:val="center"/>
          </w:tcPr>
          <w:p w:rsidR="00706428" w:rsidRDefault="00D90AD7">
            <w:pPr>
              <w:jc w:val="center"/>
              <w:rPr>
                <w:rFonts w:ascii="BIZ UDゴシック" w:eastAsia="BIZ UDゴシック" w:hAnsi="BIZ UDゴシック"/>
              </w:rPr>
            </w:pPr>
            <w:r>
              <w:rPr>
                <w:rFonts w:ascii="BIZ UDゴシック" w:eastAsia="BIZ UDゴシック" w:hAnsi="BIZ UDゴシック" w:hint="eastAsia"/>
              </w:rPr>
              <w:t>障害者計画</w:t>
            </w:r>
          </w:p>
        </w:tc>
        <w:tc>
          <w:tcPr>
            <w:tcW w:w="7225" w:type="dxa"/>
            <w:gridSpan w:val="6"/>
            <w:vAlign w:val="center"/>
          </w:tcPr>
          <w:p w:rsidR="00706428" w:rsidRDefault="00D90AD7">
            <w:pPr>
              <w:jc w:val="center"/>
              <w:rPr>
                <w:rFonts w:ascii="BIZ UDゴシック" w:eastAsia="BIZ UDゴシック" w:hAnsi="BIZ UDゴシック"/>
                <w:color w:val="FFFFFF" w:themeColor="background1"/>
              </w:rPr>
            </w:pPr>
            <w:r>
              <w:rPr>
                <w:rFonts w:ascii="BIZ UDゴシック" w:eastAsia="BIZ UDゴシック" w:hAnsi="BIZ UDゴシック" w:hint="eastAsia"/>
              </w:rPr>
              <w:t>第４次障害者計画</w:t>
            </w:r>
          </w:p>
        </w:tc>
      </w:tr>
      <w:tr w:rsidR="00706428">
        <w:tc>
          <w:tcPr>
            <w:tcW w:w="2126"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5" w:type="dxa"/>
            <w:vAlign w:val="center"/>
          </w:tcPr>
          <w:p w:rsidR="00706428" w:rsidRDefault="00706428">
            <w:pPr>
              <w:spacing w:line="160" w:lineRule="exact"/>
              <w:jc w:val="center"/>
              <w:rPr>
                <w:rFonts w:ascii="BIZ UDゴシック" w:eastAsia="BIZ UDゴシック" w:hAnsi="BIZ UDゴシック"/>
              </w:rPr>
            </w:pPr>
          </w:p>
        </w:tc>
      </w:tr>
      <w:tr w:rsidR="00706428">
        <w:trPr>
          <w:trHeight w:val="567"/>
        </w:trPr>
        <w:tc>
          <w:tcPr>
            <w:tcW w:w="2126" w:type="dxa"/>
            <w:vAlign w:val="center"/>
          </w:tcPr>
          <w:p w:rsidR="00706428" w:rsidRDefault="00D90AD7">
            <w:pPr>
              <w:jc w:val="center"/>
              <w:rPr>
                <w:rFonts w:ascii="BIZ UDゴシック" w:eastAsia="BIZ UDゴシック" w:hAnsi="BIZ UDゴシック"/>
              </w:rPr>
            </w:pPr>
            <w:r>
              <w:rPr>
                <w:rFonts w:ascii="BIZ UDゴシック" w:eastAsia="BIZ UDゴシック" w:hAnsi="BIZ UDゴシック" w:hint="eastAsia"/>
              </w:rPr>
              <w:t>障害福祉計画</w:t>
            </w:r>
          </w:p>
        </w:tc>
        <w:tc>
          <w:tcPr>
            <w:tcW w:w="3612" w:type="dxa"/>
            <w:gridSpan w:val="3"/>
            <w:vAlign w:val="center"/>
          </w:tcPr>
          <w:p w:rsidR="00706428" w:rsidRDefault="00D90AD7">
            <w:pPr>
              <w:jc w:val="center"/>
              <w:rPr>
                <w:rFonts w:ascii="BIZ UDゴシック" w:eastAsia="BIZ UDゴシック" w:hAnsi="BIZ UDゴシック"/>
                <w:color w:val="FFFFFF" w:themeColor="background1"/>
              </w:rPr>
            </w:pPr>
            <w:r>
              <w:rPr>
                <w:rFonts w:ascii="BIZ UDゴシック" w:eastAsia="BIZ UDゴシック" w:hAnsi="BIZ UDゴシック" w:hint="eastAsia"/>
              </w:rPr>
              <w:t>第７期障害福祉計画</w:t>
            </w:r>
          </w:p>
        </w:tc>
        <w:tc>
          <w:tcPr>
            <w:tcW w:w="3613" w:type="dxa"/>
            <w:gridSpan w:val="3"/>
            <w:shd w:val="clear" w:color="auto" w:fill="002060"/>
            <w:vAlign w:val="center"/>
          </w:tcPr>
          <w:p w:rsidR="00706428" w:rsidRDefault="00D90AD7">
            <w:pPr>
              <w:jc w:val="center"/>
              <w:rPr>
                <w:rFonts w:ascii="BIZ UDゴシック" w:eastAsia="BIZ UDゴシック" w:hAnsi="BIZ UDゴシック"/>
                <w:b/>
              </w:rPr>
            </w:pPr>
            <w:r>
              <w:rPr>
                <w:rFonts w:ascii="BIZ UDゴシック" w:eastAsia="BIZ UDゴシック" w:hAnsi="BIZ UDゴシック" w:hint="eastAsia"/>
                <w:b/>
              </w:rPr>
              <w:t>第８期障害福祉計画</w:t>
            </w:r>
          </w:p>
        </w:tc>
      </w:tr>
      <w:tr w:rsidR="00706428">
        <w:tc>
          <w:tcPr>
            <w:tcW w:w="2126"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4" w:type="dxa"/>
            <w:vAlign w:val="center"/>
          </w:tcPr>
          <w:p w:rsidR="00706428" w:rsidRDefault="00706428">
            <w:pPr>
              <w:spacing w:line="160" w:lineRule="exact"/>
              <w:jc w:val="center"/>
              <w:rPr>
                <w:rFonts w:ascii="BIZ UDゴシック" w:eastAsia="BIZ UDゴシック" w:hAnsi="BIZ UDゴシック"/>
              </w:rPr>
            </w:pPr>
          </w:p>
        </w:tc>
        <w:tc>
          <w:tcPr>
            <w:tcW w:w="1205" w:type="dxa"/>
            <w:vAlign w:val="center"/>
          </w:tcPr>
          <w:p w:rsidR="00706428" w:rsidRDefault="00706428">
            <w:pPr>
              <w:spacing w:line="160" w:lineRule="exact"/>
              <w:jc w:val="center"/>
              <w:rPr>
                <w:rFonts w:ascii="BIZ UDゴシック" w:eastAsia="BIZ UDゴシック" w:hAnsi="BIZ UDゴシック"/>
              </w:rPr>
            </w:pPr>
          </w:p>
        </w:tc>
      </w:tr>
      <w:tr w:rsidR="00706428">
        <w:trPr>
          <w:trHeight w:val="567"/>
        </w:trPr>
        <w:tc>
          <w:tcPr>
            <w:tcW w:w="2126" w:type="dxa"/>
            <w:vAlign w:val="center"/>
          </w:tcPr>
          <w:p w:rsidR="00706428" w:rsidRDefault="00D90AD7">
            <w:pPr>
              <w:jc w:val="center"/>
              <w:rPr>
                <w:rFonts w:ascii="BIZ UDゴシック" w:eastAsia="BIZ UDゴシック" w:hAnsi="BIZ UDゴシック"/>
              </w:rPr>
            </w:pPr>
            <w:r>
              <w:rPr>
                <w:rFonts w:ascii="BIZ UDゴシック" w:eastAsia="BIZ UDゴシック" w:hAnsi="BIZ UDゴシック" w:hint="eastAsia"/>
              </w:rPr>
              <w:t>障害児福祉計画</w:t>
            </w:r>
          </w:p>
        </w:tc>
        <w:tc>
          <w:tcPr>
            <w:tcW w:w="3612" w:type="dxa"/>
            <w:gridSpan w:val="3"/>
            <w:vAlign w:val="center"/>
          </w:tcPr>
          <w:p w:rsidR="00706428" w:rsidRDefault="00D90AD7">
            <w:pPr>
              <w:jc w:val="center"/>
              <w:rPr>
                <w:rFonts w:ascii="BIZ UDゴシック" w:eastAsia="BIZ UDゴシック" w:hAnsi="BIZ UDゴシック"/>
                <w:color w:val="FFFFFF" w:themeColor="background1"/>
              </w:rPr>
            </w:pPr>
            <w:r>
              <w:rPr>
                <w:rFonts w:ascii="BIZ UDゴシック" w:eastAsia="BIZ UDゴシック" w:hAnsi="BIZ UDゴシック" w:hint="eastAsia"/>
              </w:rPr>
              <w:t>第３期障害児福祉計画</w:t>
            </w:r>
          </w:p>
        </w:tc>
        <w:tc>
          <w:tcPr>
            <w:tcW w:w="3613" w:type="dxa"/>
            <w:gridSpan w:val="3"/>
            <w:shd w:val="clear" w:color="auto" w:fill="002060"/>
            <w:vAlign w:val="center"/>
          </w:tcPr>
          <w:p w:rsidR="00706428" w:rsidRDefault="00D90AD7">
            <w:pPr>
              <w:jc w:val="center"/>
              <w:rPr>
                <w:rFonts w:ascii="BIZ UDゴシック" w:eastAsia="BIZ UDゴシック" w:hAnsi="BIZ UDゴシック"/>
                <w:b/>
              </w:rPr>
            </w:pPr>
            <w:r>
              <w:rPr>
                <w:rFonts w:ascii="BIZ UDゴシック" w:eastAsia="BIZ UDゴシック" w:hAnsi="BIZ UDゴシック" w:hint="eastAsia"/>
                <w:b/>
                <w:color w:val="FFFFFF" w:themeColor="background1"/>
              </w:rPr>
              <w:t>第４期障害児福祉計画</w:t>
            </w:r>
          </w:p>
        </w:tc>
      </w:tr>
    </w:tbl>
    <w:p w:rsidR="00706428" w:rsidRDefault="00706428">
      <w:pPr>
        <w:spacing w:line="240" w:lineRule="exact"/>
        <w:ind w:leftChars="100" w:left="315" w:hangingChars="50" w:hanging="105"/>
      </w:pPr>
    </w:p>
    <w:p w:rsidR="00706428" w:rsidRDefault="00D90AD7">
      <w:pPr>
        <w:widowControl/>
        <w:rPr>
          <w:rFonts w:ascii="ＭＳ ゴシック" w:eastAsia="ＭＳ ゴシック" w:hAnsi="ＭＳ ゴシック"/>
          <w:u w:val="single"/>
        </w:rPr>
      </w:pPr>
      <w:r>
        <w:rPr>
          <w:rFonts w:ascii="ＭＳ ゴシック" w:eastAsia="ＭＳ ゴシック" w:hAnsi="ＭＳ ゴシック"/>
          <w:u w:val="single"/>
        </w:rPr>
        <w:br w:type="page"/>
      </w:r>
      <w:bookmarkStart w:id="0" w:name="_GoBack"/>
      <w:bookmarkEnd w:id="0"/>
    </w:p>
    <w:p w:rsidR="00706428" w:rsidRDefault="00706428">
      <w:pPr>
        <w:rPr>
          <w:rFonts w:ascii="ＭＳ ゴシック" w:eastAsia="ＭＳ ゴシック" w:hAnsi="ＭＳ ゴシック"/>
          <w:u w:val="single"/>
        </w:rPr>
      </w:pPr>
    </w:p>
    <w:p w:rsidR="00706428" w:rsidRDefault="00D90AD7">
      <w:pPr>
        <w:rPr>
          <w:rFonts w:ascii="ＭＳ ゴシック" w:eastAsia="ＭＳ ゴシック" w:hAnsi="ＭＳ ゴシック"/>
          <w:u w:val="single"/>
        </w:rPr>
      </w:pPr>
      <w:r>
        <w:rPr>
          <w:rFonts w:ascii="ＭＳ ゴシック" w:eastAsia="ＭＳ ゴシック" w:hAnsi="ＭＳ ゴシック" w:hint="eastAsia"/>
          <w:sz w:val="24"/>
          <w:u w:val="single"/>
        </w:rPr>
        <w:t>３．基本指針</w:t>
      </w:r>
    </w:p>
    <w:p w:rsidR="00706428" w:rsidRDefault="00D90AD7">
      <w:pPr>
        <w:ind w:leftChars="100" w:left="210" w:firstLineChars="100" w:firstLine="210"/>
        <w:rPr>
          <w:rFonts w:ascii="ＭＳ 明朝" w:eastAsia="ＭＳ 明朝" w:hAnsi="ＭＳ 明朝"/>
        </w:rPr>
      </w:pPr>
      <w:r>
        <w:rPr>
          <w:rFonts w:ascii="ＭＳ 明朝" w:eastAsia="ＭＳ 明朝" w:hAnsi="ＭＳ 明朝" w:hint="eastAsia"/>
        </w:rPr>
        <w:t>第８期障害福祉計画及び第４期障害児福祉計画の策定を定めるにあたっての基本的な方針について、国より「</w:t>
      </w:r>
      <w:r>
        <w:rPr>
          <w:rFonts w:ascii="ＭＳ 明朝" w:eastAsia="ＭＳ 明朝" w:hAnsi="ＭＳ 明朝"/>
        </w:rPr>
        <w:t>障害福祉サービス等及び障害児通所支援等の円滑な実施を確保するための基本的な指針</w:t>
      </w:r>
      <w:r>
        <w:rPr>
          <w:rFonts w:ascii="ＭＳ 明朝" w:eastAsia="ＭＳ 明朝" w:hAnsi="ＭＳ 明朝" w:hint="eastAsia"/>
        </w:rPr>
        <w:t>」が示されています。</w:t>
      </w:r>
    </w:p>
    <w:p w:rsidR="00706428" w:rsidRDefault="00D90AD7">
      <w:pPr>
        <w:ind w:leftChars="100" w:left="210" w:firstLineChars="100" w:firstLine="210"/>
        <w:jc w:val="center"/>
        <w:rPr>
          <w:rFonts w:ascii="ＭＳ 明朝" w:eastAsia="ＭＳ 明朝" w:hAnsi="ＭＳ 明朝"/>
        </w:rPr>
      </w:pPr>
      <w:r>
        <w:rPr>
          <w:rFonts w:ascii="ＭＳ 明朝" w:eastAsia="ＭＳ 明朝" w:hAnsi="ＭＳ 明朝"/>
        </w:rPr>
        <w:t>■</w:t>
      </w:r>
      <w:r>
        <w:rPr>
          <w:rFonts w:ascii="ＭＳ 明朝" w:eastAsia="ＭＳ 明朝" w:hAnsi="ＭＳ 明朝"/>
        </w:rPr>
        <w:t>基本指針の見直しの主なポイントと目標</w:t>
      </w:r>
      <w:r>
        <w:rPr>
          <w:rFonts w:ascii="ＭＳ 明朝" w:eastAsia="ＭＳ 明朝" w:hAnsi="ＭＳ 明朝"/>
        </w:rPr>
        <w:t>■</w:t>
      </w:r>
    </w:p>
    <w:p w:rsidR="00706428" w:rsidRDefault="00D90AD7">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6" behindDoc="0" locked="0" layoutInCell="1" hidden="0" allowOverlap="1">
                <wp:simplePos x="0" y="0"/>
                <wp:positionH relativeFrom="column">
                  <wp:posOffset>285750</wp:posOffset>
                </wp:positionH>
                <wp:positionV relativeFrom="paragraph">
                  <wp:posOffset>53975</wp:posOffset>
                </wp:positionV>
                <wp:extent cx="5905500" cy="4057650"/>
                <wp:effectExtent l="635" t="635" r="29845" b="10795"/>
                <wp:wrapNone/>
                <wp:docPr id="1028" name="テキスト ボックス 5"/>
                <wp:cNvGraphicFramePr/>
                <a:graphic xmlns:a="http://schemas.openxmlformats.org/drawingml/2006/main">
                  <a:graphicData uri="http://schemas.microsoft.com/office/word/2010/wordprocessingShape">
                    <wps:wsp>
                      <wps:cNvSpPr txBox="1"/>
                      <wps:spPr>
                        <a:xfrm>
                          <a:off x="0" y="0"/>
                          <a:ext cx="5905500" cy="4057650"/>
                        </a:xfrm>
                        <a:prstGeom prst="rect">
                          <a:avLst/>
                        </a:prstGeom>
                        <a:solidFill>
                          <a:schemeClr val="lt1"/>
                        </a:solidFill>
                        <a:ln w="6350">
                          <a:solidFill>
                            <a:prstClr val="black"/>
                          </a:solidFill>
                        </a:ln>
                      </wps:spPr>
                      <wps:txbx>
                        <w:txbxContent>
                          <w:p w:rsidR="00706428" w:rsidRDefault="00D90AD7">
                            <w:pPr>
                              <w:widowControl/>
                              <w:outlineLvl w:val="2"/>
                              <w:rPr>
                                <w:rFonts w:ascii="ＭＳ ゴシック" w:eastAsia="ＭＳ ゴシック" w:hAnsi="ＭＳ ゴシック"/>
                                <w:b/>
                                <w:spacing w:val="-4"/>
                                <w:sz w:val="22"/>
                                <w:highlight w:val="lightGray"/>
                              </w:rPr>
                            </w:pPr>
                            <w:r>
                              <w:rPr>
                                <w:rFonts w:ascii="ＭＳ ゴシック" w:eastAsia="ＭＳ ゴシック" w:hAnsi="ＭＳ ゴシック" w:hint="eastAsia"/>
                                <w:b/>
                                <w:spacing w:val="-4"/>
                                <w:sz w:val="22"/>
                                <w:highlight w:val="lightGray"/>
                              </w:rPr>
                              <w:t>＜基本指針の見直しの主なポイント＞</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入所等から地域生活への移行、地域生活の継続の支援</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精神障害にも対応した地域包括ケアシステムの構築</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福祉施設から一般就労への移行等</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障害児支援の提供体制の整備等</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地域における相談支援体制の充実強化</w:t>
                            </w:r>
                          </w:p>
                          <w:p w:rsidR="00706428" w:rsidRDefault="00D90AD7">
                            <w:pPr>
                              <w:pStyle w:val="a9"/>
                              <w:widowControl/>
                              <w:numPr>
                                <w:ilvl w:val="0"/>
                                <w:numId w:val="1"/>
                              </w:numPr>
                              <w:contextualSpacing w:val="0"/>
                              <w:rPr>
                                <w:rFonts w:ascii="ＭＳ 明朝" w:eastAsia="ＭＳ 明朝" w:hAnsi="ＭＳ 明朝"/>
                              </w:rPr>
                            </w:pPr>
                            <w:r w:rsidRPr="00D90AD7">
                              <w:rPr>
                                <w:rFonts w:ascii="ＭＳ 明朝" w:eastAsia="ＭＳ 明朝" w:hAnsi="ＭＳ 明朝" w:hint="eastAsia"/>
                                <w:b/>
                                <w:spacing w:val="2"/>
                                <w:w w:val="89"/>
                                <w:kern w:val="0"/>
                                <w:u w:val="single"/>
                                <w:fitText w:val="6963" w:id="1"/>
                              </w:rPr>
                              <w:t>障害福祉人材の確保・定着、当事者視点に立ったケアの充実のための生産性の向</w:t>
                            </w:r>
                            <w:r w:rsidRPr="00D90AD7">
                              <w:rPr>
                                <w:rFonts w:ascii="ＭＳ 明朝" w:eastAsia="ＭＳ 明朝" w:hAnsi="ＭＳ 明朝" w:hint="eastAsia"/>
                                <w:b/>
                                <w:spacing w:val="-35"/>
                                <w:w w:val="89"/>
                                <w:kern w:val="0"/>
                                <w:u w:val="single"/>
                                <w:fitText w:val="6963" w:id="1"/>
                              </w:rPr>
                              <w:t>上</w:t>
                            </w:r>
                            <w:r>
                              <w:rPr>
                                <w:rFonts w:ascii="ＭＳ 明朝" w:eastAsia="ＭＳ 明朝" w:hAnsi="ＭＳ 明朝" w:hint="eastAsia"/>
                                <w:color w:val="C00000"/>
                              </w:rPr>
                              <w:t>【新規】</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障害福祉サービスの質の確保</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きめ細かい地域ニーズ</w:t>
                            </w:r>
                            <w:r>
                              <w:rPr>
                                <w:rFonts w:ascii="ＭＳ 明朝" w:eastAsia="ＭＳ 明朝" w:hAnsi="ＭＳ 明朝" w:hint="eastAsia"/>
                              </w:rPr>
                              <w:t>を踏まえた支援体制の整備</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b/>
                                <w:color w:val="000000" w:themeColor="text1"/>
                                <w:u w:val="single"/>
                              </w:rPr>
                              <w:t>高次脳機能障害者に対する支援体制の充実</w:t>
                            </w:r>
                            <w:r>
                              <w:rPr>
                                <w:rFonts w:ascii="ＭＳ 明朝" w:eastAsia="ＭＳ 明朝" w:hAnsi="ＭＳ 明朝" w:hint="eastAsia"/>
                                <w:color w:val="C00000"/>
                              </w:rPr>
                              <w:t>【新規】</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b/>
                                <w:u w:val="single"/>
                              </w:rPr>
                              <w:t>人口減少地域におけるサービスの維持・確保</w:t>
                            </w:r>
                            <w:r>
                              <w:rPr>
                                <w:rFonts w:ascii="ＭＳ 明朝" w:eastAsia="ＭＳ 明朝" w:hAnsi="ＭＳ 明朝" w:hint="eastAsia"/>
                                <w:color w:val="C00000"/>
                              </w:rPr>
                              <w:t>【新規】</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「地域共生社会」の実現に向けた取組</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b/>
                                <w:u w:val="single"/>
                              </w:rPr>
                              <w:t>住宅セーフティネット制度との連携</w:t>
                            </w:r>
                            <w:r>
                              <w:rPr>
                                <w:rFonts w:ascii="ＭＳ 明朝" w:eastAsia="ＭＳ 明朝" w:hAnsi="ＭＳ 明朝" w:hint="eastAsia"/>
                                <w:color w:val="C00000"/>
                              </w:rPr>
                              <w:t>【新規】</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b/>
                                <w:u w:val="single"/>
                              </w:rPr>
                              <w:t>地域差の是正・指定の在り方等</w:t>
                            </w:r>
                            <w:r>
                              <w:rPr>
                                <w:rFonts w:ascii="ＭＳ 明朝" w:eastAsia="ＭＳ 明朝" w:hAnsi="ＭＳ 明朝" w:hint="eastAsia"/>
                                <w:color w:val="C00000"/>
                              </w:rPr>
                              <w:t>【新規】</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rPr>
                              <w:t>障害者等に対する虐待の防止等</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b/>
                                <w:u w:val="single"/>
                              </w:rPr>
                              <w:t>スポーツ・健康増進活動による社会参加等の促進</w:t>
                            </w:r>
                            <w:r>
                              <w:rPr>
                                <w:rFonts w:ascii="ＭＳ 明朝" w:eastAsia="ＭＳ 明朝" w:hAnsi="ＭＳ 明朝" w:hint="eastAsia"/>
                                <w:color w:val="C00000"/>
                              </w:rPr>
                              <w:t>【新規】</w:t>
                            </w:r>
                          </w:p>
                          <w:p w:rsidR="00706428" w:rsidRDefault="00D90AD7">
                            <w:pPr>
                              <w:pStyle w:val="a9"/>
                              <w:widowControl/>
                              <w:numPr>
                                <w:ilvl w:val="0"/>
                                <w:numId w:val="1"/>
                              </w:numPr>
                              <w:contextualSpacing w:val="0"/>
                              <w:rPr>
                                <w:rFonts w:ascii="ＭＳ 明朝" w:eastAsia="ＭＳ 明朝" w:hAnsi="ＭＳ 明朝"/>
                              </w:rPr>
                            </w:pPr>
                            <w:r>
                              <w:rPr>
                                <w:rFonts w:ascii="ＭＳ 明朝" w:eastAsia="ＭＳ 明朝" w:hAnsi="ＭＳ 明朝" w:hint="eastAsia"/>
                                <w:b/>
                                <w:u w:val="single"/>
                              </w:rPr>
                              <w:t>災害時における障害福祉サービス提供の確保</w:t>
                            </w:r>
                            <w:r>
                              <w:rPr>
                                <w:rFonts w:ascii="ＭＳ 明朝" w:eastAsia="ＭＳ 明朝" w:hAnsi="ＭＳ 明朝" w:hint="eastAsia"/>
                                <w:color w:val="C00000"/>
                              </w:rPr>
                              <w:t>【新規】</w:t>
                            </w:r>
                          </w:p>
                          <w:p w:rsidR="00706428" w:rsidRDefault="00706428"/>
                        </w:txbxContent>
                      </wps:txbx>
                      <wps:bodyPr rot="0" vertOverflow="overflow" horzOverflow="overflow" wrap="square" numCol="1" spcCol="0" rtlCol="0" fromWordArt="0" anchor="t" anchorCtr="0" forceAA="0" compatLnSpc="1"/>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テキスト ボックス 5" style="mso-position-vertical-relative:text;z-index:6;mso-wrap-distance-left:9pt;width:465pt;height:319.5pt;mso-position-horizontal-relative:text;position:absolute;margin-left:22.5pt;margin-top:4.25pt;mso-wrap-distance-bottom:0pt;mso-wrap-distance-right:9pt;mso-wrap-distance-top:0pt;v-text-anchor:top;" o:spid="_x0000_s1028" o:allowincell="t" o:allowoverlap="t" filled="t" fillcolor="#ffffff [3201]" stroked="t" strokecolor="#000000" strokeweight="0.5pt" o:spt="202" type="#_x0000_t202">
                <v:fill/>
                <v:stroke filltype="solid"/>
                <v:textbox style="layout-flow:horizontal;">
                  <w:txbxContent>
                    <w:p>
                      <w:pPr>
                        <w:pStyle w:val="0"/>
                        <w:widowControl w:val="1"/>
                        <w:outlineLvl w:val="2"/>
                        <w:rPr>
                          <w:rFonts w:hint="default" w:ascii="ＭＳ ゴシック" w:hAnsi="ＭＳ ゴシック" w:eastAsia="ＭＳ ゴシック"/>
                          <w:b w:val="1"/>
                          <w:spacing w:val="-4"/>
                          <w:sz w:val="22"/>
                          <w:highlight w:val="lightGray"/>
                        </w:rPr>
                      </w:pPr>
                      <w:r>
                        <w:rPr>
                          <w:rFonts w:hint="eastAsia" w:ascii="ＭＳ ゴシック" w:hAnsi="ＭＳ ゴシック" w:eastAsia="ＭＳ ゴシック"/>
                          <w:b w:val="1"/>
                          <w:spacing w:val="-4"/>
                          <w:sz w:val="22"/>
                          <w:highlight w:val="lightGray"/>
                        </w:rPr>
                        <w:t>＜基本指針の見直しの主なポイント＞</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入所等から地域生活への移行、地域生活の継続の支援</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精神障害にも対応した地域包括ケアシステムの構築</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福祉施設から一般就労への移行等</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障害児支援の提供体制の整備等</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地域における相談支援体制の充実強化</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b w:val="1"/>
                          <w:spacing w:val="0"/>
                          <w:w w:val="89"/>
                          <w:kern w:val="0"/>
                          <w:u w:val="single" w:color="auto"/>
                          <w:fitText w:val="6963" w:id="1"/>
                        </w:rPr>
                        <w:t>障害福祉人材の確保・定着、当事者視点に立ったケアの充実のための生産性の向</w:t>
                      </w:r>
                      <w:r>
                        <w:rPr>
                          <w:rFonts w:hint="eastAsia" w:ascii="ＭＳ 明朝" w:hAnsi="ＭＳ 明朝" w:eastAsia="ＭＳ 明朝"/>
                          <w:b w:val="1"/>
                          <w:spacing w:val="6"/>
                          <w:w w:val="89"/>
                          <w:kern w:val="0"/>
                          <w:u w:val="single" w:color="auto"/>
                          <w:fitText w:val="6963" w:id="1"/>
                        </w:rPr>
                        <w:t>上</w:t>
                      </w:r>
                      <w:r>
                        <w:rPr>
                          <w:rFonts w:hint="eastAsia" w:ascii="ＭＳ 明朝" w:hAnsi="ＭＳ 明朝" w:eastAsia="ＭＳ 明朝"/>
                          <w:color w:val="C00000"/>
                        </w:rPr>
                        <w:t>【新規】</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障害福祉サービスの質の確保</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きめ細かい地域ニーズを踏まえた支援体制の整備</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b w:val="1"/>
                          <w:color w:val="000000" w:themeColor="text1"/>
                          <w:u w:val="single" w:color="auto"/>
                        </w:rPr>
                        <w:t>高次脳機能障害者に対する支援体制の充実</w:t>
                      </w:r>
                      <w:r>
                        <w:rPr>
                          <w:rFonts w:hint="eastAsia" w:ascii="ＭＳ 明朝" w:hAnsi="ＭＳ 明朝" w:eastAsia="ＭＳ 明朝"/>
                          <w:color w:val="C00000"/>
                        </w:rPr>
                        <w:t>【新規】</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b w:val="1"/>
                          <w:u w:val="single" w:color="auto"/>
                        </w:rPr>
                        <w:t>人口減少地域におけるサービスの維持・確保</w:t>
                      </w:r>
                      <w:r>
                        <w:rPr>
                          <w:rFonts w:hint="eastAsia" w:ascii="ＭＳ 明朝" w:hAnsi="ＭＳ 明朝" w:eastAsia="ＭＳ 明朝"/>
                          <w:color w:val="C00000"/>
                        </w:rPr>
                        <w:t>【新規】</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「地域共生社会」の実現に向けた取組</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b w:val="1"/>
                          <w:u w:val="single" w:color="auto"/>
                        </w:rPr>
                        <w:t>住宅セーフティネット制度との連携</w:t>
                      </w:r>
                      <w:r>
                        <w:rPr>
                          <w:rFonts w:hint="eastAsia" w:ascii="ＭＳ 明朝" w:hAnsi="ＭＳ 明朝" w:eastAsia="ＭＳ 明朝"/>
                          <w:color w:val="C00000"/>
                        </w:rPr>
                        <w:t>【新規】</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b w:val="1"/>
                          <w:u w:val="single" w:color="auto"/>
                        </w:rPr>
                        <w:t>地域差の是正・指定の在り方等</w:t>
                      </w:r>
                      <w:r>
                        <w:rPr>
                          <w:rFonts w:hint="eastAsia" w:ascii="ＭＳ 明朝" w:hAnsi="ＭＳ 明朝" w:eastAsia="ＭＳ 明朝"/>
                          <w:color w:val="C00000"/>
                        </w:rPr>
                        <w:t>【新規】</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rPr>
                        <w:t>障害者等に対する虐待の防止等</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b w:val="1"/>
                          <w:u w:val="single" w:color="auto"/>
                        </w:rPr>
                        <w:t>スポーツ・健康増進活動による社会参加等の促進</w:t>
                      </w:r>
                      <w:r>
                        <w:rPr>
                          <w:rFonts w:hint="eastAsia" w:ascii="ＭＳ 明朝" w:hAnsi="ＭＳ 明朝" w:eastAsia="ＭＳ 明朝"/>
                          <w:color w:val="C00000"/>
                        </w:rPr>
                        <w:t>【新規】</w:t>
                      </w:r>
                    </w:p>
                    <w:p>
                      <w:pPr>
                        <w:pStyle w:val="30"/>
                        <w:widowControl w:val="1"/>
                        <w:numPr>
                          <w:ilvl w:val="0"/>
                          <w:numId w:val="1"/>
                        </w:numPr>
                        <w:contextualSpacing w:val="0"/>
                        <w:rPr>
                          <w:rFonts w:hint="default" w:ascii="ＭＳ 明朝" w:hAnsi="ＭＳ 明朝" w:eastAsia="ＭＳ 明朝"/>
                        </w:rPr>
                      </w:pPr>
                      <w:r>
                        <w:rPr>
                          <w:rFonts w:hint="eastAsia" w:ascii="ＭＳ 明朝" w:hAnsi="ＭＳ 明朝" w:eastAsia="ＭＳ 明朝"/>
                          <w:b w:val="1"/>
                          <w:u w:val="single" w:color="auto"/>
                        </w:rPr>
                        <w:t>災害時における障害福祉サービス提供の確保</w:t>
                      </w:r>
                      <w:r>
                        <w:rPr>
                          <w:rFonts w:hint="eastAsia" w:ascii="ＭＳ 明朝" w:hAnsi="ＭＳ 明朝" w:eastAsia="ＭＳ 明朝"/>
                          <w:color w:val="C00000"/>
                        </w:rPr>
                        <w:t>【新規】</w:t>
                      </w:r>
                    </w:p>
                    <w:p>
                      <w:pPr>
                        <w:pStyle w:val="0"/>
                        <w:rPr>
                          <w:rFonts w:hint="default"/>
                        </w:rPr>
                      </w:pPr>
                    </w:p>
                  </w:txbxContent>
                </v:textbox>
                <v:imagedata o:title=""/>
                <w10:wrap type="none" anchorx="text" anchory="text"/>
              </v:shape>
            </w:pict>
          </mc:Fallback>
        </mc:AlternateContent>
      </w:r>
    </w:p>
    <w:p w:rsidR="00706428" w:rsidRDefault="00706428"/>
    <w:p w:rsidR="00706428" w:rsidRDefault="00D90AD7">
      <w:pPr>
        <w:widowControl/>
      </w:pPr>
      <w:r>
        <w:rPr>
          <w:rFonts w:hint="eastAsia"/>
          <w:noProof/>
        </w:rPr>
        <mc:AlternateContent>
          <mc:Choice Requires="wps">
            <w:drawing>
              <wp:anchor distT="0" distB="0" distL="71755" distR="71755" simplePos="0" relativeHeight="4" behindDoc="0" locked="0" layoutInCell="1" hidden="0" allowOverlap="1">
                <wp:simplePos x="0" y="0"/>
                <wp:positionH relativeFrom="column">
                  <wp:posOffset>7192645</wp:posOffset>
                </wp:positionH>
                <wp:positionV relativeFrom="paragraph">
                  <wp:posOffset>67945</wp:posOffset>
                </wp:positionV>
                <wp:extent cx="2236470" cy="1638935"/>
                <wp:effectExtent l="635" t="635" r="29845" b="10795"/>
                <wp:wrapNone/>
                <wp:docPr id="1029" name="オブジェクト 0"/>
                <wp:cNvGraphicFramePr/>
                <a:graphic xmlns:a="http://schemas.openxmlformats.org/drawingml/2006/main">
                  <a:graphicData uri="http://schemas.microsoft.com/office/word/2010/wordprocessingShape">
                    <wps:wsp>
                      <wps:cNvSpPr txBox="1"/>
                      <wps:spPr>
                        <a:xfrm>
                          <a:off x="0" y="0"/>
                          <a:ext cx="2236470" cy="163893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rsidR="00706428" w:rsidRDefault="00D90AD7">
                            <w:r>
                              <w:rPr>
                                <w:rFonts w:hint="eastAsia"/>
                              </w:rPr>
                              <w:t>自殺対策計画と健康増進計画及び食育推進計画は合わせて「健康かわにし</w:t>
                            </w:r>
                            <w:r>
                              <w:rPr>
                                <w:rFonts w:hint="eastAsia"/>
                              </w:rPr>
                              <w:t>21</w:t>
                            </w:r>
                            <w:r>
                              <w:rPr>
                                <w:rFonts w:hint="eastAsia"/>
                              </w:rPr>
                              <w:t>」としております。</w:t>
                            </w:r>
                          </w:p>
                          <w:p w:rsidR="00706428" w:rsidRDefault="00D90AD7">
                            <w:r>
                              <w:rPr>
                                <w:rFonts w:hint="eastAsia"/>
                              </w:rPr>
                              <w:t>修正をお願いいたします。</w:t>
                            </w:r>
                          </w:p>
                          <w:p w:rsidR="00706428" w:rsidRDefault="00D90AD7">
                            <w:r>
                              <w:rPr>
                                <w:rFonts w:hint="eastAsia"/>
                              </w:rPr>
                              <w:t>※参考として、下欄にこども計画で使用した図を添付しております。</w:t>
                            </w:r>
                          </w:p>
                        </w:txbxContent>
                      </wps:txbx>
                      <wps:bodyPr vertOverflow="overflow" horzOverflow="overflow" wrap="square" lIns="74295" tIns="8890" rIns="74295" bIns="8890"/>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オブジェクト 0" style="mso-position-vertical-relative:text;z-index:4;mso-wrap-distance-left:5.65pt;width:176.1pt;height:129.05000000000001pt;mso-position-horizontal-relative:text;position:absolute;margin-left:566.35pt;margin-top:5.35pt;mso-wrap-distance-bottom:0pt;mso-wrap-distance-right:5.65pt;mso-wrap-distance-top:0pt;" o:spid="_x0000_s1029"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default"/>
                        </w:rPr>
                      </w:pPr>
                      <w:r>
                        <w:rPr>
                          <w:rFonts w:hint="eastAsia"/>
                        </w:rPr>
                        <w:t>自殺対策計画と健康増進計画及び食育推進計画は合わせて「健康かわにし</w:t>
                      </w:r>
                      <w:r>
                        <w:rPr>
                          <w:rFonts w:hint="eastAsia"/>
                        </w:rPr>
                        <w:t>21</w:t>
                      </w:r>
                      <w:r>
                        <w:rPr>
                          <w:rFonts w:hint="eastAsia"/>
                        </w:rPr>
                        <w:t>」としております。</w:t>
                      </w:r>
                    </w:p>
                    <w:p>
                      <w:pPr>
                        <w:pStyle w:val="0"/>
                        <w:rPr>
                          <w:rFonts w:hint="default"/>
                        </w:rPr>
                      </w:pPr>
                      <w:r>
                        <w:rPr>
                          <w:rFonts w:hint="eastAsia"/>
                        </w:rPr>
                        <w:t>修正をお願いいたします。</w:t>
                      </w:r>
                    </w:p>
                    <w:p>
                      <w:pPr>
                        <w:pStyle w:val="0"/>
                        <w:rPr>
                          <w:rFonts w:hint="default"/>
                        </w:rPr>
                      </w:pPr>
                      <w:r>
                        <w:rPr>
                          <w:rFonts w:hint="eastAsia"/>
                        </w:rPr>
                        <w:t>※参考として、下欄にこども計画で使用した図を添付しております。</w:t>
                      </w:r>
                    </w:p>
                  </w:txbxContent>
                </v:textbox>
                <v:imagedata o:title=""/>
                <w10:wrap type="none" anchorx="text" anchory="text"/>
              </v:shape>
            </w:pict>
          </mc:Fallback>
        </mc:AlternateContent>
      </w:r>
    </w:p>
    <w:p w:rsidR="00706428" w:rsidRDefault="00706428">
      <w:pPr>
        <w:widowControl/>
      </w:pPr>
    </w:p>
    <w:p w:rsidR="00706428" w:rsidRDefault="00706428">
      <w:pPr>
        <w:widowControl/>
      </w:pPr>
    </w:p>
    <w:p w:rsidR="00706428" w:rsidRDefault="00706428">
      <w:pPr>
        <w:widowControl/>
      </w:pPr>
    </w:p>
    <w:p w:rsidR="00706428" w:rsidRDefault="00706428">
      <w:pPr>
        <w:widowControl/>
      </w:pPr>
    </w:p>
    <w:p w:rsidR="00706428" w:rsidRDefault="00706428">
      <w:pPr>
        <w:widowControl/>
      </w:pPr>
    </w:p>
    <w:p w:rsidR="00706428" w:rsidRDefault="00706428">
      <w:pPr>
        <w:widowControl/>
      </w:pPr>
    </w:p>
    <w:p w:rsidR="00706428" w:rsidRDefault="00706428">
      <w:pPr>
        <w:widowControl/>
      </w:pPr>
    </w:p>
    <w:p w:rsidR="00706428" w:rsidRDefault="00706428">
      <w:pPr>
        <w:widowControl/>
      </w:pPr>
    </w:p>
    <w:p w:rsidR="00706428" w:rsidRDefault="00706428">
      <w:pPr>
        <w:widowControl/>
      </w:pPr>
    </w:p>
    <w:p w:rsidR="00706428" w:rsidRDefault="00706428">
      <w:pPr>
        <w:widowControl/>
      </w:pPr>
    </w:p>
    <w:p w:rsidR="00706428" w:rsidRDefault="00D90AD7">
      <w:pPr>
        <w:widowControl/>
      </w:pPr>
      <w:r>
        <w:rPr>
          <w:rFonts w:hint="eastAsia"/>
          <w:noProof/>
        </w:rPr>
        <mc:AlternateContent>
          <mc:Choice Requires="wps">
            <w:drawing>
              <wp:anchor distT="0" distB="0" distL="71755" distR="71755" simplePos="0" relativeHeight="2" behindDoc="0" locked="0" layoutInCell="1" hidden="0" allowOverlap="1">
                <wp:simplePos x="0" y="0"/>
                <wp:positionH relativeFrom="column">
                  <wp:posOffset>7192645</wp:posOffset>
                </wp:positionH>
                <wp:positionV relativeFrom="paragraph">
                  <wp:posOffset>870585</wp:posOffset>
                </wp:positionV>
                <wp:extent cx="1938020" cy="264795"/>
                <wp:effectExtent l="635" t="635" r="29845" b="10795"/>
                <wp:wrapNone/>
                <wp:docPr id="1030" name="オブジェクト 0"/>
                <wp:cNvGraphicFramePr/>
                <a:graphic xmlns:a="http://schemas.openxmlformats.org/drawingml/2006/main">
                  <a:graphicData uri="http://schemas.microsoft.com/office/word/2010/wordprocessingShape">
                    <wps:wsp>
                      <wps:cNvSpPr txBox="1"/>
                      <wps:spPr>
                        <a:xfrm>
                          <a:off x="0" y="0"/>
                          <a:ext cx="1938020" cy="26479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rsidR="00706428" w:rsidRDefault="00D90AD7">
                            <w:r>
                              <w:rPr>
                                <w:rFonts w:hint="eastAsia"/>
                              </w:rPr>
                              <w:t>「・障害児福祉計画」を追加</w:t>
                            </w:r>
                          </w:p>
                        </w:txbxContent>
                      </wps:txbx>
                      <wps:bodyPr vertOverflow="overflow" horzOverflow="overflow" wrap="square" lIns="74295" tIns="8890" rIns="74295" bIns="8890"/>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オブジェクト 0" style="mso-position-vertical-relative:text;z-index:2;mso-wrap-distance-left:5.65pt;width:152.6pt;height:20.85pt;mso-position-horizontal-relative:text;position:absolute;margin-left:566.35pt;margin-top:68.55pt;mso-wrap-distance-bottom:0pt;mso-wrap-distance-right:5.65pt;mso-wrap-distance-top:0pt;" o:spid="_x0000_s1030"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default"/>
                        </w:rPr>
                      </w:pPr>
                      <w:r>
                        <w:rPr>
                          <w:rFonts w:hint="eastAsia"/>
                        </w:rPr>
                        <w:t>「・障害児福祉計画」を追加</w:t>
                      </w:r>
                    </w:p>
                  </w:txbxContent>
                </v:textbox>
                <v:imagedata o:title=""/>
                <w10:wrap type="none" anchorx="text" anchory="text"/>
              </v:shape>
            </w:pict>
          </mc:Fallback>
        </mc:AlternateContent>
      </w:r>
      <w:r>
        <w:rPr>
          <w:rFonts w:hint="eastAsia"/>
          <w:noProof/>
        </w:rPr>
        <mc:AlternateContent>
          <mc:Choice Requires="wps">
            <w:drawing>
              <wp:anchor distT="0" distB="0" distL="71755" distR="71755" simplePos="0" relativeHeight="3" behindDoc="0" locked="0" layoutInCell="1" hidden="0" allowOverlap="1">
                <wp:simplePos x="0" y="0"/>
                <wp:positionH relativeFrom="column">
                  <wp:posOffset>7192645</wp:posOffset>
                </wp:positionH>
                <wp:positionV relativeFrom="paragraph">
                  <wp:posOffset>189865</wp:posOffset>
                </wp:positionV>
                <wp:extent cx="1938020" cy="264795"/>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1938020" cy="26479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rsidR="00706428" w:rsidRDefault="00D90AD7">
                            <w:r>
                              <w:rPr>
                                <w:rFonts w:hint="eastAsia"/>
                              </w:rPr>
                              <w:t>「こども計画」を追加</w:t>
                            </w:r>
                          </w:p>
                        </w:txbxContent>
                      </wps:txbx>
                      <wps:bodyPr vertOverflow="overflow" horzOverflow="overflow" wrap="square" lIns="74295" tIns="8890" rIns="74295" bIns="8890"/>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オブジェクト 0" style="mso-position-vertical-relative:text;z-index:3;mso-wrap-distance-left:5.65pt;width:152.6pt;height:20.85pt;mso-position-horizontal-relative:text;position:absolute;margin-left:566.35pt;margin-top:14.95pt;mso-wrap-distance-bottom:0pt;mso-wrap-distance-right:5.65pt;mso-wrap-distance-top:0pt;" o:spid="_x0000_s1031"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default"/>
                        </w:rPr>
                      </w:pPr>
                      <w:r>
                        <w:rPr>
                          <w:rFonts w:hint="eastAsia"/>
                        </w:rPr>
                        <w:t>「こども計画」を追加</w:t>
                      </w:r>
                    </w:p>
                  </w:txbxContent>
                </v:textbox>
                <v:imagedata o:title=""/>
                <w10:wrap type="none" anchorx="text" anchory="text"/>
              </v:shape>
            </w:pict>
          </mc:Fallback>
        </mc:AlternateContent>
      </w:r>
    </w:p>
    <w:p w:rsidR="00706428" w:rsidRDefault="00706428"/>
    <w:p w:rsidR="00706428" w:rsidRDefault="00706428"/>
    <w:p w:rsidR="00706428" w:rsidRDefault="00706428"/>
    <w:p w:rsidR="00706428" w:rsidRDefault="00706428"/>
    <w:p w:rsidR="00706428" w:rsidRDefault="00706428"/>
    <w:p w:rsidR="00706428" w:rsidRDefault="00706428"/>
    <w:p w:rsidR="00706428" w:rsidRDefault="00D90AD7">
      <w:r>
        <w:rPr>
          <w:rFonts w:ascii="ＭＳ 明朝" w:eastAsia="ＭＳ 明朝" w:hAnsi="ＭＳ 明朝"/>
          <w:noProof/>
        </w:rPr>
        <mc:AlternateContent>
          <mc:Choice Requires="wps">
            <w:drawing>
              <wp:anchor distT="0" distB="0" distL="114300" distR="114300" simplePos="0" relativeHeight="7" behindDoc="0" locked="0" layoutInCell="1" hidden="0" allowOverlap="1">
                <wp:simplePos x="0" y="0"/>
                <wp:positionH relativeFrom="column">
                  <wp:posOffset>284480</wp:posOffset>
                </wp:positionH>
                <wp:positionV relativeFrom="paragraph">
                  <wp:posOffset>59690</wp:posOffset>
                </wp:positionV>
                <wp:extent cx="5905500" cy="2162175"/>
                <wp:effectExtent l="635" t="635" r="29845" b="10795"/>
                <wp:wrapNone/>
                <wp:docPr id="1032" name="テキスト ボックス 5"/>
                <wp:cNvGraphicFramePr/>
                <a:graphic xmlns:a="http://schemas.openxmlformats.org/drawingml/2006/main">
                  <a:graphicData uri="http://schemas.microsoft.com/office/word/2010/wordprocessingShape">
                    <wps:wsp>
                      <wps:cNvSpPr txBox="1"/>
                      <wps:spPr>
                        <a:xfrm>
                          <a:off x="0" y="0"/>
                          <a:ext cx="5905500" cy="2162175"/>
                        </a:xfrm>
                        <a:prstGeom prst="rect">
                          <a:avLst/>
                        </a:prstGeom>
                        <a:solidFill>
                          <a:schemeClr val="lt1"/>
                        </a:solidFill>
                        <a:ln w="6350">
                          <a:solidFill>
                            <a:prstClr val="black"/>
                          </a:solidFill>
                        </a:ln>
                      </wps:spPr>
                      <wps:txbx>
                        <w:txbxContent>
                          <w:p w:rsidR="00706428" w:rsidRDefault="00D90AD7">
                            <w:pPr>
                              <w:widowControl/>
                              <w:outlineLvl w:val="2"/>
                              <w:rPr>
                                <w:rFonts w:ascii="ＭＳ ゴシック" w:eastAsia="ＭＳ ゴシック" w:hAnsi="ＭＳ ゴシック"/>
                                <w:b/>
                                <w:spacing w:val="-4"/>
                                <w:sz w:val="22"/>
                              </w:rPr>
                            </w:pPr>
                            <w:r>
                              <w:rPr>
                                <w:rFonts w:ascii="ＭＳ ゴシック" w:eastAsia="ＭＳ ゴシック" w:hAnsi="ＭＳ ゴシック" w:hint="eastAsia"/>
                                <w:b/>
                                <w:spacing w:val="-4"/>
                                <w:sz w:val="22"/>
                                <w:highlight w:val="lightGray"/>
                              </w:rPr>
                              <w:t>＜成果目標（令和</w:t>
                            </w:r>
                            <w:r>
                              <w:rPr>
                                <w:rFonts w:ascii="ＭＳ ゴシック" w:eastAsia="ＭＳ ゴシック" w:hAnsi="ＭＳ ゴシック" w:hint="eastAsia"/>
                                <w:b/>
                                <w:spacing w:val="-4"/>
                                <w:sz w:val="22"/>
                                <w:highlight w:val="lightGray"/>
                              </w:rPr>
                              <w:t>11</w:t>
                            </w:r>
                            <w:r>
                              <w:rPr>
                                <w:rFonts w:ascii="ＭＳ ゴシック" w:eastAsia="ＭＳ ゴシック" w:hAnsi="ＭＳ ゴシック" w:hint="eastAsia"/>
                                <w:b/>
                                <w:spacing w:val="-4"/>
                                <w:sz w:val="22"/>
                                <w:highlight w:val="lightGray"/>
                              </w:rPr>
                              <w:t>年度末の目標）＞</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施設入所者の地域生活への移行等</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精神障害にも対応した地域包括ケアシステムの構築</w:t>
                            </w:r>
                            <w:r>
                              <w:rPr>
                                <w:rFonts w:ascii="ＭＳ 明朝" w:eastAsia="ＭＳ 明朝" w:hAnsi="ＭＳ 明朝" w:hint="eastAsia"/>
                                <w:color w:val="C00000"/>
                              </w:rPr>
                              <w:t>【新規項目有り】</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福祉施設から一般就労への移行等</w:t>
                            </w:r>
                            <w:r>
                              <w:rPr>
                                <w:rFonts w:ascii="ＭＳ 明朝" w:eastAsia="ＭＳ 明朝" w:hAnsi="ＭＳ 明朝" w:hint="eastAsia"/>
                                <w:color w:val="C00000"/>
                              </w:rPr>
                              <w:t>【新規項目有り】</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障害児支援の提供体制の整備等</w:t>
                            </w:r>
                            <w:r>
                              <w:rPr>
                                <w:rFonts w:ascii="ＭＳ 明朝" w:eastAsia="ＭＳ 明朝" w:hAnsi="ＭＳ 明朝" w:hint="eastAsia"/>
                                <w:color w:val="C00000"/>
                              </w:rPr>
                              <w:t>【新規項目有り】</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地域生活支援の充実</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相談支援体制の充実・強化等</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障害福祉人材の確保・定着、ケアの充実のための生産性向上</w:t>
                            </w:r>
                            <w:r>
                              <w:rPr>
                                <w:rFonts w:ascii="ＭＳ 明朝" w:eastAsia="ＭＳ 明朝" w:hAnsi="ＭＳ 明朝" w:hint="eastAsia"/>
                                <w:color w:val="C00000"/>
                              </w:rPr>
                              <w:t>【新規】</w:t>
                            </w:r>
                          </w:p>
                          <w:p w:rsidR="00706428" w:rsidRDefault="00D90AD7">
                            <w:pPr>
                              <w:pStyle w:val="a9"/>
                              <w:widowControl/>
                              <w:numPr>
                                <w:ilvl w:val="0"/>
                                <w:numId w:val="2"/>
                              </w:numPr>
                              <w:contextualSpacing w:val="0"/>
                              <w:rPr>
                                <w:rFonts w:ascii="ＭＳ 明朝" w:eastAsia="ＭＳ 明朝" w:hAnsi="ＭＳ 明朝"/>
                              </w:rPr>
                            </w:pPr>
                            <w:r>
                              <w:rPr>
                                <w:rFonts w:ascii="ＭＳ 明朝" w:eastAsia="ＭＳ 明朝" w:hAnsi="ＭＳ 明朝" w:hint="eastAsia"/>
                              </w:rPr>
                              <w:t>障害福祉サービスの質を向上させるための取組に係る体制の構築</w:t>
                            </w:r>
                            <w:r>
                              <w:rPr>
                                <w:rFonts w:ascii="ＭＳ 明朝" w:eastAsia="ＭＳ 明朝" w:hAnsi="ＭＳ 明朝" w:hint="eastAsia"/>
                                <w:color w:val="C00000"/>
                              </w:rPr>
                              <w:t>【新規項目有り】</w:t>
                            </w:r>
                          </w:p>
                        </w:txbxContent>
                      </wps:txbx>
                      <wps:bodyPr rot="0" vertOverflow="overflow" horzOverflow="overflow" wrap="square" numCol="1" spcCol="0" rtlCol="0" fromWordArt="0" anchor="t" anchorCtr="0" forceAA="0" compatLnSpc="1"/>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テキスト ボックス 5" style="mso-position-vertical-relative:text;z-index:7;mso-wrap-distance-left:9pt;width:465pt;height:170.25pt;mso-position-horizontal-relative:text;position:absolute;margin-left:22.4pt;margin-top:4.7pt;mso-wrap-distance-bottom:0pt;mso-wrap-distance-right:9pt;mso-wrap-distance-top:0pt;v-text-anchor:top;" o:spid="_x0000_s1032" o:allowincell="t" o:allowoverlap="t" filled="t" fillcolor="#ffffff [3201]" stroked="t" strokecolor="#000000" strokeweight="0.5pt" o:spt="202" type="#_x0000_t202">
                <v:fill/>
                <v:stroke filltype="solid"/>
                <v:textbox style="layout-flow:horizontal;">
                  <w:txbxContent>
                    <w:p>
                      <w:pPr>
                        <w:pStyle w:val="0"/>
                        <w:widowControl w:val="1"/>
                        <w:outlineLvl w:val="2"/>
                        <w:rPr>
                          <w:rFonts w:hint="default" w:ascii="ＭＳ ゴシック" w:hAnsi="ＭＳ ゴシック" w:eastAsia="ＭＳ ゴシック"/>
                          <w:b w:val="1"/>
                          <w:spacing w:val="-4"/>
                          <w:sz w:val="22"/>
                        </w:rPr>
                      </w:pPr>
                      <w:r>
                        <w:rPr>
                          <w:rFonts w:hint="eastAsia" w:ascii="ＭＳ ゴシック" w:hAnsi="ＭＳ ゴシック" w:eastAsia="ＭＳ ゴシック"/>
                          <w:b w:val="1"/>
                          <w:spacing w:val="-4"/>
                          <w:sz w:val="22"/>
                          <w:highlight w:val="lightGray"/>
                        </w:rPr>
                        <w:t>＜成果目標（令和</w:t>
                      </w:r>
                      <w:r>
                        <w:rPr>
                          <w:rFonts w:hint="eastAsia" w:ascii="ＭＳ ゴシック" w:hAnsi="ＭＳ ゴシック" w:eastAsia="ＭＳ ゴシック"/>
                          <w:b w:val="1"/>
                          <w:spacing w:val="-4"/>
                          <w:sz w:val="22"/>
                          <w:highlight w:val="lightGray"/>
                        </w:rPr>
                        <w:t>11</w:t>
                      </w:r>
                      <w:r>
                        <w:rPr>
                          <w:rFonts w:hint="eastAsia" w:ascii="ＭＳ ゴシック" w:hAnsi="ＭＳ ゴシック" w:eastAsia="ＭＳ ゴシック"/>
                          <w:b w:val="1"/>
                          <w:spacing w:val="-4"/>
                          <w:sz w:val="22"/>
                          <w:highlight w:val="lightGray"/>
                        </w:rPr>
                        <w:t>年度末の目標）＞</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施設入所者の地域生活への移行等</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精神障害にも対応した地域包括ケアシステムの構築</w:t>
                      </w:r>
                      <w:r>
                        <w:rPr>
                          <w:rFonts w:hint="eastAsia" w:ascii="ＭＳ 明朝" w:hAnsi="ＭＳ 明朝" w:eastAsia="ＭＳ 明朝"/>
                          <w:color w:val="C00000"/>
                        </w:rPr>
                        <w:t>【新規項目有り】</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福祉施設から一般就労への移行等</w:t>
                      </w:r>
                      <w:r>
                        <w:rPr>
                          <w:rFonts w:hint="eastAsia" w:ascii="ＭＳ 明朝" w:hAnsi="ＭＳ 明朝" w:eastAsia="ＭＳ 明朝"/>
                          <w:color w:val="C00000"/>
                        </w:rPr>
                        <w:t>【新規項目有り】</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障害児支援の提供体制の整備等</w:t>
                      </w:r>
                      <w:r>
                        <w:rPr>
                          <w:rFonts w:hint="eastAsia" w:ascii="ＭＳ 明朝" w:hAnsi="ＭＳ 明朝" w:eastAsia="ＭＳ 明朝"/>
                          <w:color w:val="C00000"/>
                        </w:rPr>
                        <w:t>【新規項目有り】</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地域生活支援の充実</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相談支援体制の充実・強化等</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障害福祉人材の確保・定着、ケアの充実のための生産性向上</w:t>
                      </w:r>
                      <w:r>
                        <w:rPr>
                          <w:rFonts w:hint="eastAsia" w:ascii="ＭＳ 明朝" w:hAnsi="ＭＳ 明朝" w:eastAsia="ＭＳ 明朝"/>
                          <w:color w:val="C00000"/>
                        </w:rPr>
                        <w:t>【新規】</w:t>
                      </w:r>
                    </w:p>
                    <w:p>
                      <w:pPr>
                        <w:pStyle w:val="30"/>
                        <w:widowControl w:val="1"/>
                        <w:numPr>
                          <w:ilvl w:val="0"/>
                          <w:numId w:val="2"/>
                        </w:numPr>
                        <w:contextualSpacing w:val="0"/>
                        <w:rPr>
                          <w:rFonts w:hint="default" w:ascii="ＭＳ 明朝" w:hAnsi="ＭＳ 明朝" w:eastAsia="ＭＳ 明朝"/>
                        </w:rPr>
                      </w:pPr>
                      <w:r>
                        <w:rPr>
                          <w:rFonts w:hint="eastAsia" w:ascii="ＭＳ 明朝" w:hAnsi="ＭＳ 明朝" w:eastAsia="ＭＳ 明朝"/>
                        </w:rPr>
                        <w:t>障害福祉サービスの質を向上させるための取組に係る体制の構築</w:t>
                      </w:r>
                      <w:r>
                        <w:rPr>
                          <w:rFonts w:hint="eastAsia" w:ascii="ＭＳ 明朝" w:hAnsi="ＭＳ 明朝" w:eastAsia="ＭＳ 明朝"/>
                          <w:color w:val="C00000"/>
                        </w:rPr>
                        <w:t>【新規項目有り】</w:t>
                      </w:r>
                    </w:p>
                  </w:txbxContent>
                </v:textbox>
                <v:imagedata o:title=""/>
                <w10:wrap type="none" anchorx="text" anchory="text"/>
              </v:shape>
            </w:pict>
          </mc:Fallback>
        </mc:AlternateContent>
      </w:r>
    </w:p>
    <w:p w:rsidR="00706428" w:rsidRDefault="00706428"/>
    <w:p w:rsidR="00706428" w:rsidRDefault="00706428"/>
    <w:p w:rsidR="00706428" w:rsidRDefault="00706428"/>
    <w:p w:rsidR="00706428" w:rsidRDefault="00706428"/>
    <w:p w:rsidR="00706428" w:rsidRDefault="00706428"/>
    <w:p w:rsidR="00706428" w:rsidRDefault="00706428"/>
    <w:p w:rsidR="00706428" w:rsidRDefault="00706428"/>
    <w:p w:rsidR="00706428" w:rsidRDefault="00706428"/>
    <w:p w:rsidR="00706428" w:rsidRDefault="00706428"/>
    <w:p w:rsidR="00706428" w:rsidRDefault="00706428"/>
    <w:p w:rsidR="00706428" w:rsidRDefault="00D90AD7">
      <w:pPr>
        <w:widowControl/>
      </w:pPr>
      <w:r>
        <w:br w:type="page"/>
      </w:r>
    </w:p>
    <w:p w:rsidR="00706428" w:rsidRDefault="00706428"/>
    <w:p w:rsidR="00706428" w:rsidRDefault="00D90AD7">
      <w:pPr>
        <w:rPr>
          <w:rFonts w:ascii="ＭＳ ゴシック" w:eastAsia="ＭＳ ゴシック" w:hAnsi="ＭＳ ゴシック"/>
        </w:rPr>
      </w:pPr>
      <w:r>
        <w:rPr>
          <w:rFonts w:ascii="ＭＳ ゴシック" w:eastAsia="ＭＳ ゴシック" w:hAnsi="ＭＳ ゴシック" w:hint="eastAsia"/>
          <w:sz w:val="24"/>
        </w:rPr>
        <w:t>４．町の現状</w:t>
      </w:r>
    </w:p>
    <w:p w:rsidR="00706428" w:rsidRDefault="00D90AD7">
      <w:pPr>
        <w:ind w:leftChars="100" w:left="210" w:firstLineChars="100" w:firstLine="210"/>
        <w:rPr>
          <w:rFonts w:ascii="ＭＳ 明朝" w:eastAsia="ＭＳ 明朝" w:hAnsi="ＭＳ 明朝"/>
        </w:rPr>
      </w:pPr>
      <w:r>
        <w:rPr>
          <w:noProof/>
        </w:rPr>
        <w:drawing>
          <wp:anchor distT="0" distB="0" distL="114300" distR="114300" simplePos="0" relativeHeight="9" behindDoc="0" locked="0" layoutInCell="1" hidden="0" allowOverlap="1">
            <wp:simplePos x="0" y="0"/>
            <wp:positionH relativeFrom="column">
              <wp:posOffset>3397250</wp:posOffset>
            </wp:positionH>
            <wp:positionV relativeFrom="paragraph">
              <wp:posOffset>549910</wp:posOffset>
            </wp:positionV>
            <wp:extent cx="3491865" cy="2411730"/>
            <wp:effectExtent l="0" t="0" r="0" b="0"/>
            <wp:wrapNone/>
            <wp:docPr id="1033" name="オブジェクト 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noProof/>
        </w:rPr>
        <w:drawing>
          <wp:anchor distT="0" distB="0" distL="114300" distR="114300" simplePos="0" relativeHeight="8" behindDoc="0" locked="0" layoutInCell="1" hidden="0" allowOverlap="1">
            <wp:simplePos x="0" y="0"/>
            <wp:positionH relativeFrom="column">
              <wp:posOffset>-193675</wp:posOffset>
            </wp:positionH>
            <wp:positionV relativeFrom="paragraph">
              <wp:posOffset>550545</wp:posOffset>
            </wp:positionV>
            <wp:extent cx="3491865" cy="2411730"/>
            <wp:effectExtent l="0" t="0" r="0" b="0"/>
            <wp:wrapTopAndBottom/>
            <wp:docPr id="1034" name="オブジェクト 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ascii="ＭＳ 明朝" w:eastAsia="ＭＳ 明朝" w:hAnsi="ＭＳ 明朝" w:hint="eastAsia"/>
        </w:rPr>
        <w:t>本町の手帳所持者総数は増加傾向にあります。特に</w:t>
      </w:r>
      <w:r>
        <w:rPr>
          <w:rFonts w:ascii="ＭＳ 明朝" w:eastAsia="ＭＳ 明朝" w:hAnsi="ＭＳ 明朝" w:hint="eastAsia"/>
        </w:rPr>
        <w:t>65</w:t>
      </w:r>
      <w:r>
        <w:rPr>
          <w:rFonts w:ascii="ＭＳ 明朝" w:eastAsia="ＭＳ 明朝" w:hAnsi="ＭＳ 明朝" w:hint="eastAsia"/>
        </w:rPr>
        <w:t>歳未満の療育手帳と</w:t>
      </w:r>
      <w:r>
        <w:rPr>
          <w:rFonts w:ascii="ＭＳ 明朝" w:eastAsia="ＭＳ 明朝" w:hAnsi="ＭＳ 明朝" w:hint="eastAsia"/>
        </w:rPr>
        <w:t>18</w:t>
      </w:r>
      <w:r>
        <w:rPr>
          <w:rFonts w:ascii="ＭＳ 明朝" w:eastAsia="ＭＳ 明朝" w:hAnsi="ＭＳ 明朝" w:hint="eastAsia"/>
        </w:rPr>
        <w:t>歳～</w:t>
      </w:r>
      <w:r>
        <w:rPr>
          <w:rFonts w:ascii="ＭＳ 明朝" w:eastAsia="ＭＳ 明朝" w:hAnsi="ＭＳ 明朝" w:hint="eastAsia"/>
        </w:rPr>
        <w:t>64</w:t>
      </w:r>
      <w:r>
        <w:rPr>
          <w:rFonts w:ascii="ＭＳ 明朝" w:eastAsia="ＭＳ 明朝" w:hAnsi="ＭＳ 明朝" w:hint="eastAsia"/>
        </w:rPr>
        <w:t>歳の精神障害者保健福祉手帳の所持者数が増加しています。</w:t>
      </w:r>
    </w:p>
    <w:p w:rsidR="00706428" w:rsidRDefault="00D90AD7">
      <w:pPr>
        <w:ind w:leftChars="300" w:left="630" w:firstLineChars="100" w:firstLine="210"/>
        <w:rPr>
          <w:rFonts w:ascii="ＭＳ 明朝" w:eastAsia="ＭＳ 明朝" w:hAnsi="ＭＳ 明朝"/>
        </w:rPr>
      </w:pPr>
      <w:r>
        <w:rPr>
          <w:noProof/>
        </w:rPr>
        <w:drawing>
          <wp:anchor distT="0" distB="0" distL="114300" distR="114300" simplePos="0" relativeHeight="11" behindDoc="0" locked="0" layoutInCell="1" hidden="0" allowOverlap="1">
            <wp:simplePos x="0" y="0"/>
            <wp:positionH relativeFrom="column">
              <wp:posOffset>3421380</wp:posOffset>
            </wp:positionH>
            <wp:positionV relativeFrom="paragraph">
              <wp:posOffset>2773680</wp:posOffset>
            </wp:positionV>
            <wp:extent cx="3491865" cy="2411730"/>
            <wp:effectExtent l="0" t="0" r="0" b="0"/>
            <wp:wrapTopAndBottom/>
            <wp:docPr id="1035" name="オブジェクト 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706428" w:rsidRDefault="00D90AD7">
      <w:pPr>
        <w:ind w:leftChars="300" w:left="630" w:firstLineChars="100" w:firstLine="210"/>
      </w:pPr>
      <w:r>
        <w:rPr>
          <w:noProof/>
        </w:rPr>
        <w:drawing>
          <wp:anchor distT="0" distB="0" distL="114300" distR="114300" simplePos="0" relativeHeight="10" behindDoc="0" locked="0" layoutInCell="1" hidden="0" allowOverlap="1">
            <wp:simplePos x="0" y="0"/>
            <wp:positionH relativeFrom="column">
              <wp:posOffset>-194310</wp:posOffset>
            </wp:positionH>
            <wp:positionV relativeFrom="paragraph">
              <wp:posOffset>65405</wp:posOffset>
            </wp:positionV>
            <wp:extent cx="3491865" cy="2411730"/>
            <wp:effectExtent l="0" t="0" r="0" b="0"/>
            <wp:wrapNone/>
            <wp:docPr id="1036" name="オブジェクト 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t xml:space="preserve"> </w:t>
      </w:r>
    </w:p>
    <w:p w:rsidR="00706428" w:rsidRDefault="00D90AD7">
      <w:pPr>
        <w:rPr>
          <w:rFonts w:ascii="ＭＳ ゴシック" w:eastAsia="ＭＳ ゴシック" w:hAnsi="ＭＳ ゴシック"/>
        </w:rPr>
      </w:pPr>
      <w:r>
        <w:rPr>
          <w:rFonts w:ascii="ＭＳ ゴシック" w:eastAsia="ＭＳ ゴシック" w:hAnsi="ＭＳ ゴシック" w:hint="eastAsia"/>
          <w:sz w:val="24"/>
        </w:rPr>
        <w:t>５．アンケート調査の概要</w:t>
      </w:r>
    </w:p>
    <w:p w:rsidR="00706428" w:rsidRDefault="00D90AD7">
      <w:pPr>
        <w:ind w:leftChars="100" w:left="210" w:firstLineChars="100" w:firstLine="210"/>
        <w:rPr>
          <w:rFonts w:ascii="ＭＳ 明朝" w:eastAsia="ＭＳ 明朝" w:hAnsi="ＭＳ 明朝"/>
        </w:rPr>
      </w:pPr>
      <w:r>
        <w:rPr>
          <w:rFonts w:ascii="ＭＳ 明朝" w:eastAsia="ＭＳ 明朝" w:hAnsi="ＭＳ 明朝" w:hint="eastAsia"/>
        </w:rPr>
        <w:t>福祉サービスの利用実態や障がい福祉に関する意識、町の抱える課題などを明らかにするため、「当事者（障がい者）アンケート」、「健常者（一般）アンケート」、「関係団体アンケート」を実施します。</w:t>
      </w:r>
    </w:p>
    <w:tbl>
      <w:tblPr>
        <w:tblpPr w:leftFromText="142" w:rightFromText="142" w:vertAnchor="text" w:horzAnchor="margin" w:tblpXSpec="center" w:tblpY="70"/>
        <w:tblW w:w="9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567"/>
        <w:gridCol w:w="1701"/>
        <w:gridCol w:w="3767"/>
        <w:gridCol w:w="1559"/>
        <w:gridCol w:w="1560"/>
      </w:tblGrid>
      <w:tr w:rsidR="00706428">
        <w:trPr>
          <w:trHeight w:val="20"/>
        </w:trPr>
        <w:tc>
          <w:tcPr>
            <w:tcW w:w="567" w:type="dxa"/>
            <w:shd w:val="clear" w:color="auto" w:fill="9DE3AE"/>
            <w:tcMar>
              <w:top w:w="72" w:type="dxa"/>
              <w:left w:w="144" w:type="dxa"/>
              <w:bottom w:w="72" w:type="dxa"/>
              <w:right w:w="144" w:type="dxa"/>
            </w:tcMar>
            <w:vAlign w:val="center"/>
          </w:tcPr>
          <w:p w:rsidR="00706428" w:rsidRDefault="00706428">
            <w:pPr>
              <w:jc w:val="center"/>
              <w:rPr>
                <w:rFonts w:ascii="ＭＳ 明朝" w:eastAsia="ＭＳ 明朝" w:hAnsi="ＭＳ 明朝"/>
              </w:rPr>
            </w:pPr>
          </w:p>
        </w:tc>
        <w:tc>
          <w:tcPr>
            <w:tcW w:w="1701" w:type="dxa"/>
            <w:shd w:val="clear" w:color="auto" w:fill="9DE3AE"/>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調査種別</w:t>
            </w:r>
          </w:p>
        </w:tc>
        <w:tc>
          <w:tcPr>
            <w:tcW w:w="3767" w:type="dxa"/>
            <w:shd w:val="clear" w:color="auto" w:fill="9DE3AE"/>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調査対象者</w:t>
            </w:r>
          </w:p>
        </w:tc>
        <w:tc>
          <w:tcPr>
            <w:tcW w:w="1559" w:type="dxa"/>
            <w:shd w:val="clear" w:color="auto" w:fill="9DE3AE"/>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調査方法</w:t>
            </w:r>
          </w:p>
        </w:tc>
        <w:tc>
          <w:tcPr>
            <w:tcW w:w="1560" w:type="dxa"/>
            <w:shd w:val="clear" w:color="auto" w:fill="9DE3AE"/>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対象者数</w:t>
            </w:r>
          </w:p>
        </w:tc>
      </w:tr>
      <w:tr w:rsidR="00706428">
        <w:trPr>
          <w:trHeight w:val="20"/>
        </w:trPr>
        <w:tc>
          <w:tcPr>
            <w:tcW w:w="567" w:type="dxa"/>
            <w:vMerge w:val="restart"/>
            <w:shd w:val="clear" w:color="auto" w:fill="E1EECD"/>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１</w:t>
            </w:r>
          </w:p>
        </w:tc>
        <w:tc>
          <w:tcPr>
            <w:tcW w:w="1701" w:type="dxa"/>
            <w:shd w:val="clear" w:color="auto" w:fill="E1EECD"/>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rPr>
              <w:t>障</w:t>
            </w:r>
            <w:r>
              <w:rPr>
                <w:rFonts w:ascii="ＭＳ 明朝" w:eastAsia="ＭＳ 明朝" w:hAnsi="ＭＳ 明朝" w:hint="eastAsia"/>
              </w:rPr>
              <w:t>がい</w:t>
            </w:r>
            <w:r>
              <w:rPr>
                <w:rFonts w:ascii="ＭＳ 明朝" w:eastAsia="ＭＳ 明朝" w:hAnsi="ＭＳ 明朝"/>
              </w:rPr>
              <w:t>児</w:t>
            </w:r>
          </w:p>
        </w:tc>
        <w:tc>
          <w:tcPr>
            <w:tcW w:w="3767" w:type="dxa"/>
            <w:shd w:val="clear" w:color="auto" w:fill="E1EECD"/>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rPr>
              <w:t>障害者手帳所持児もしくは障害福祉サービス利用児</w:t>
            </w:r>
          </w:p>
        </w:tc>
        <w:tc>
          <w:tcPr>
            <w:tcW w:w="1559" w:type="dxa"/>
            <w:vMerge w:val="restart"/>
            <w:shd w:val="clear" w:color="auto" w:fill="E1EECD"/>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郵送・</w:t>
            </w:r>
            <w:r>
              <w:rPr>
                <w:rFonts w:ascii="ＭＳ 明朝" w:eastAsia="ＭＳ 明朝" w:hAnsi="ＭＳ 明朝"/>
              </w:rPr>
              <w:t>WEB</w:t>
            </w:r>
          </w:p>
        </w:tc>
        <w:tc>
          <w:tcPr>
            <w:tcW w:w="1560" w:type="dxa"/>
            <w:vMerge w:val="restart"/>
            <w:shd w:val="clear" w:color="auto" w:fill="E1EECD"/>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hint="eastAsia"/>
              </w:rPr>
              <w:t>５００</w:t>
            </w:r>
            <w:r>
              <w:rPr>
                <w:rFonts w:ascii="ＭＳ 明朝" w:eastAsia="ＭＳ 明朝" w:hAnsi="ＭＳ 明朝"/>
              </w:rPr>
              <w:t>人</w:t>
            </w:r>
          </w:p>
        </w:tc>
      </w:tr>
      <w:tr w:rsidR="00706428">
        <w:trPr>
          <w:trHeight w:val="20"/>
        </w:trPr>
        <w:tc>
          <w:tcPr>
            <w:tcW w:w="567" w:type="dxa"/>
            <w:vMerge/>
            <w:vAlign w:val="center"/>
          </w:tcPr>
          <w:p w:rsidR="00706428" w:rsidRDefault="00706428">
            <w:pPr>
              <w:jc w:val="center"/>
              <w:rPr>
                <w:rFonts w:ascii="ＭＳ 明朝" w:eastAsia="ＭＳ 明朝" w:hAnsi="ＭＳ 明朝"/>
              </w:rPr>
            </w:pPr>
          </w:p>
        </w:tc>
        <w:tc>
          <w:tcPr>
            <w:tcW w:w="1701" w:type="dxa"/>
            <w:shd w:val="clear" w:color="auto" w:fill="E1EECD"/>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rPr>
              <w:t>障</w:t>
            </w:r>
            <w:r>
              <w:rPr>
                <w:rFonts w:ascii="ＭＳ 明朝" w:eastAsia="ＭＳ 明朝" w:hAnsi="ＭＳ 明朝" w:hint="eastAsia"/>
              </w:rPr>
              <w:t>がい</w:t>
            </w:r>
            <w:r>
              <w:rPr>
                <w:rFonts w:ascii="ＭＳ 明朝" w:eastAsia="ＭＳ 明朝" w:hAnsi="ＭＳ 明朝"/>
              </w:rPr>
              <w:t>者</w:t>
            </w:r>
          </w:p>
        </w:tc>
        <w:tc>
          <w:tcPr>
            <w:tcW w:w="3767" w:type="dxa"/>
            <w:shd w:val="clear" w:color="auto" w:fill="E1EECD"/>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rPr>
              <w:t>障害者手帳所持者もしくは障害福祉サービス利用者</w:t>
            </w:r>
          </w:p>
        </w:tc>
        <w:tc>
          <w:tcPr>
            <w:tcW w:w="1559" w:type="dxa"/>
            <w:vMerge/>
            <w:vAlign w:val="center"/>
          </w:tcPr>
          <w:p w:rsidR="00706428" w:rsidRDefault="00706428">
            <w:pPr>
              <w:jc w:val="center"/>
              <w:rPr>
                <w:rFonts w:ascii="ＭＳ 明朝" w:eastAsia="ＭＳ 明朝" w:hAnsi="ＭＳ 明朝"/>
              </w:rPr>
            </w:pPr>
          </w:p>
        </w:tc>
        <w:tc>
          <w:tcPr>
            <w:tcW w:w="1560" w:type="dxa"/>
            <w:vMerge/>
            <w:vAlign w:val="center"/>
          </w:tcPr>
          <w:p w:rsidR="00706428" w:rsidRDefault="00706428">
            <w:pPr>
              <w:jc w:val="center"/>
              <w:rPr>
                <w:rFonts w:ascii="ＭＳ 明朝" w:eastAsia="ＭＳ 明朝" w:hAnsi="ＭＳ 明朝"/>
              </w:rPr>
            </w:pPr>
          </w:p>
        </w:tc>
      </w:tr>
      <w:tr w:rsidR="00706428">
        <w:trPr>
          <w:trHeight w:val="20"/>
        </w:trPr>
        <w:tc>
          <w:tcPr>
            <w:tcW w:w="567" w:type="dxa"/>
            <w:shd w:val="clear" w:color="auto" w:fill="F0F7E8"/>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２</w:t>
            </w:r>
          </w:p>
        </w:tc>
        <w:tc>
          <w:tcPr>
            <w:tcW w:w="1701" w:type="dxa"/>
            <w:shd w:val="clear" w:color="auto" w:fill="F0F7E8"/>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rPr>
              <w:t>一般住民</w:t>
            </w:r>
          </w:p>
        </w:tc>
        <w:tc>
          <w:tcPr>
            <w:tcW w:w="3767" w:type="dxa"/>
            <w:shd w:val="clear" w:color="auto" w:fill="F0F7E8"/>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rPr>
              <w:t>障害者手帳を持っていない、川西町在住の１８歳以上の町民</w:t>
            </w:r>
          </w:p>
        </w:tc>
        <w:tc>
          <w:tcPr>
            <w:tcW w:w="1559" w:type="dxa"/>
            <w:shd w:val="clear" w:color="auto" w:fill="F0F7E8"/>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rPr>
              <w:t>郵送・</w:t>
            </w:r>
            <w:r>
              <w:rPr>
                <w:rFonts w:ascii="ＭＳ 明朝" w:eastAsia="ＭＳ 明朝" w:hAnsi="ＭＳ 明朝"/>
              </w:rPr>
              <w:t>WEB</w:t>
            </w:r>
          </w:p>
        </w:tc>
        <w:tc>
          <w:tcPr>
            <w:tcW w:w="1560" w:type="dxa"/>
            <w:shd w:val="clear" w:color="auto" w:fill="F0F7E8"/>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hint="eastAsia"/>
              </w:rPr>
              <w:t>１</w:t>
            </w:r>
            <w:r>
              <w:rPr>
                <w:rFonts w:ascii="ＭＳ 明朝" w:eastAsia="ＭＳ 明朝" w:hAnsi="ＭＳ 明朝" w:hint="eastAsia"/>
              </w:rPr>
              <w:t>,</w:t>
            </w:r>
            <w:r>
              <w:rPr>
                <w:rFonts w:ascii="ＭＳ 明朝" w:eastAsia="ＭＳ 明朝" w:hAnsi="ＭＳ 明朝" w:hint="eastAsia"/>
              </w:rPr>
              <w:t>０００</w:t>
            </w:r>
            <w:r>
              <w:rPr>
                <w:rFonts w:ascii="ＭＳ 明朝" w:eastAsia="ＭＳ 明朝" w:hAnsi="ＭＳ 明朝"/>
              </w:rPr>
              <w:t>人</w:t>
            </w:r>
          </w:p>
        </w:tc>
      </w:tr>
      <w:tr w:rsidR="00706428">
        <w:trPr>
          <w:trHeight w:val="609"/>
        </w:trPr>
        <w:tc>
          <w:tcPr>
            <w:tcW w:w="567" w:type="dxa"/>
            <w:shd w:val="clear" w:color="auto" w:fill="FFFFFF" w:themeFill="background1"/>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hint="eastAsia"/>
              </w:rPr>
              <w:t>３</w:t>
            </w:r>
          </w:p>
        </w:tc>
        <w:tc>
          <w:tcPr>
            <w:tcW w:w="1701" w:type="dxa"/>
            <w:shd w:val="clear" w:color="auto" w:fill="FFFFFF" w:themeFill="background1"/>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hint="eastAsia"/>
              </w:rPr>
              <w:t>関係団体</w:t>
            </w:r>
          </w:p>
        </w:tc>
        <w:tc>
          <w:tcPr>
            <w:tcW w:w="3767" w:type="dxa"/>
            <w:shd w:val="clear" w:color="auto" w:fill="FFFFFF" w:themeFill="background1"/>
            <w:tcMar>
              <w:top w:w="72" w:type="dxa"/>
              <w:left w:w="144" w:type="dxa"/>
              <w:bottom w:w="72" w:type="dxa"/>
              <w:right w:w="144" w:type="dxa"/>
            </w:tcMar>
            <w:vAlign w:val="center"/>
          </w:tcPr>
          <w:p w:rsidR="00706428" w:rsidRDefault="00D90AD7">
            <w:pPr>
              <w:rPr>
                <w:rFonts w:ascii="ＭＳ 明朝" w:eastAsia="ＭＳ 明朝" w:hAnsi="ＭＳ 明朝"/>
              </w:rPr>
            </w:pPr>
            <w:r>
              <w:rPr>
                <w:rFonts w:ascii="ＭＳ 明朝" w:eastAsia="ＭＳ 明朝" w:hAnsi="ＭＳ 明朝" w:hint="eastAsia"/>
              </w:rPr>
              <w:t>障害者</w:t>
            </w:r>
            <w:r>
              <w:rPr>
                <w:rFonts w:ascii="ＭＳ 明朝" w:eastAsia="ＭＳ 明朝" w:hAnsi="ＭＳ 明朝" w:hint="eastAsia"/>
              </w:rPr>
              <w:t>(</w:t>
            </w:r>
            <w:r>
              <w:rPr>
                <w:rFonts w:ascii="ＭＳ 明朝" w:eastAsia="ＭＳ 明朝" w:hAnsi="ＭＳ 明朝" w:hint="eastAsia"/>
              </w:rPr>
              <w:t>児</w:t>
            </w:r>
            <w:r>
              <w:rPr>
                <w:rFonts w:ascii="ＭＳ 明朝" w:eastAsia="ＭＳ 明朝" w:hAnsi="ＭＳ 明朝" w:hint="eastAsia"/>
              </w:rPr>
              <w:t>)</w:t>
            </w:r>
            <w:r>
              <w:rPr>
                <w:rFonts w:ascii="ＭＳ 明朝" w:eastAsia="ＭＳ 明朝" w:hAnsi="ＭＳ 明朝" w:hint="eastAsia"/>
              </w:rPr>
              <w:t>当事者団体及び支援団体</w:t>
            </w:r>
          </w:p>
        </w:tc>
        <w:tc>
          <w:tcPr>
            <w:tcW w:w="1559" w:type="dxa"/>
            <w:shd w:val="clear" w:color="auto" w:fill="FFFFFF" w:themeFill="background1"/>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hint="eastAsia"/>
              </w:rPr>
              <w:t>郵送</w:t>
            </w:r>
          </w:p>
        </w:tc>
        <w:tc>
          <w:tcPr>
            <w:tcW w:w="1560" w:type="dxa"/>
            <w:shd w:val="clear" w:color="auto" w:fill="FFFFFF" w:themeFill="background1"/>
            <w:tcMar>
              <w:top w:w="72" w:type="dxa"/>
              <w:left w:w="144" w:type="dxa"/>
              <w:bottom w:w="72" w:type="dxa"/>
              <w:right w:w="144" w:type="dxa"/>
            </w:tcMar>
            <w:vAlign w:val="center"/>
          </w:tcPr>
          <w:p w:rsidR="00706428" w:rsidRDefault="00D90AD7">
            <w:pPr>
              <w:jc w:val="center"/>
              <w:rPr>
                <w:rFonts w:ascii="ＭＳ 明朝" w:eastAsia="ＭＳ 明朝" w:hAnsi="ＭＳ 明朝"/>
              </w:rPr>
            </w:pPr>
            <w:r>
              <w:rPr>
                <w:rFonts w:ascii="ＭＳ 明朝" w:eastAsia="ＭＳ 明朝" w:hAnsi="ＭＳ 明朝" w:hint="eastAsia"/>
              </w:rPr>
              <w:t>１１団体程度</w:t>
            </w:r>
          </w:p>
        </w:tc>
      </w:tr>
    </w:tbl>
    <w:p w:rsidR="00706428" w:rsidRDefault="00706428">
      <w:pPr>
        <w:ind w:leftChars="100" w:left="210" w:firstLineChars="100" w:firstLine="210"/>
        <w:rPr>
          <w:rFonts w:ascii="ＭＳ 明朝" w:eastAsia="ＭＳ 明朝" w:hAnsi="ＭＳ 明朝"/>
        </w:rPr>
      </w:pPr>
    </w:p>
    <w:p w:rsidR="00706428" w:rsidRDefault="00706428"/>
    <w:sectPr w:rsidR="00706428">
      <w:pgSz w:w="11906" w:h="16838"/>
      <w:pgMar w:top="720"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90AD7">
      <w:r>
        <w:separator/>
      </w:r>
    </w:p>
  </w:endnote>
  <w:endnote w:type="continuationSeparator" w:id="0">
    <w:p w:rsidR="00000000" w:rsidRDefault="00D90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90AD7">
      <w:r>
        <w:separator/>
      </w:r>
    </w:p>
  </w:footnote>
  <w:footnote w:type="continuationSeparator" w:id="0">
    <w:p w:rsidR="00000000" w:rsidRDefault="00D90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4FE6AA0"/>
    <w:lvl w:ilvl="0" w:tplc="E2F6B39C">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1" w15:restartNumberingAfterBreak="0">
    <w:nsid w:val="00000002"/>
    <w:multiLevelType w:val="hybridMultilevel"/>
    <w:tmpl w:val="E4FE6AA0"/>
    <w:lvl w:ilvl="0" w:tplc="FFFFFFFF">
      <w:start w:val="1"/>
      <w:numFmt w:val="decimalEnclosedCircle"/>
      <w:lvlText w:val="%1"/>
      <w:lvlJc w:val="left"/>
      <w:pPr>
        <w:ind w:left="570" w:hanging="360"/>
      </w:pPr>
      <w:rPr>
        <w:rFonts w:hint="default"/>
      </w:rPr>
    </w:lvl>
    <w:lvl w:ilvl="1" w:tplc="FFFFFFFF">
      <w:start w:val="1"/>
      <w:numFmt w:val="aiueoFullWidth"/>
      <w:lvlText w:val="(%2)"/>
      <w:lvlJc w:val="left"/>
      <w:pPr>
        <w:ind w:left="1090" w:hanging="440"/>
      </w:pPr>
    </w:lvl>
    <w:lvl w:ilvl="2" w:tplc="FFFFFFFF">
      <w:start w:val="1"/>
      <w:numFmt w:val="decimalEnclosedCircle"/>
      <w:lvlText w:val="%3"/>
      <w:lvlJc w:val="left"/>
      <w:pPr>
        <w:ind w:left="1530" w:hanging="440"/>
      </w:pPr>
    </w:lvl>
    <w:lvl w:ilvl="3" w:tplc="FFFFFFFF">
      <w:start w:val="1"/>
      <w:numFmt w:val="decimal"/>
      <w:lvlText w:val="%4."/>
      <w:lvlJc w:val="left"/>
      <w:pPr>
        <w:ind w:left="1970" w:hanging="440"/>
      </w:pPr>
    </w:lvl>
    <w:lvl w:ilvl="4" w:tplc="FFFFFFFF">
      <w:start w:val="1"/>
      <w:numFmt w:val="aiueoFullWidth"/>
      <w:lvlText w:val="(%5)"/>
      <w:lvlJc w:val="left"/>
      <w:pPr>
        <w:ind w:left="2410" w:hanging="440"/>
      </w:pPr>
    </w:lvl>
    <w:lvl w:ilvl="5" w:tplc="FFFFFFFF">
      <w:start w:val="1"/>
      <w:numFmt w:val="decimalEnclosedCircle"/>
      <w:lvlText w:val="%6"/>
      <w:lvlJc w:val="left"/>
      <w:pPr>
        <w:ind w:left="2850" w:hanging="440"/>
      </w:pPr>
    </w:lvl>
    <w:lvl w:ilvl="6" w:tplc="FFFFFFFF">
      <w:start w:val="1"/>
      <w:numFmt w:val="decimal"/>
      <w:lvlText w:val="%7."/>
      <w:lvlJc w:val="left"/>
      <w:pPr>
        <w:ind w:left="3290" w:hanging="440"/>
      </w:pPr>
    </w:lvl>
    <w:lvl w:ilvl="7" w:tplc="FFFFFFFF">
      <w:start w:val="1"/>
      <w:numFmt w:val="aiueoFullWidth"/>
      <w:lvlText w:val="(%8)"/>
      <w:lvlJc w:val="left"/>
      <w:pPr>
        <w:ind w:left="3730" w:hanging="440"/>
      </w:pPr>
    </w:lvl>
    <w:lvl w:ilvl="8" w:tplc="FFFFFFFF">
      <w:start w:val="1"/>
      <w:numFmt w:val="decimalEnclosedCircle"/>
      <w:lvlText w:val="%9"/>
      <w:lvlJc w:val="left"/>
      <w:pPr>
        <w:ind w:left="417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428"/>
    <w:rsid w:val="00706428"/>
    <w:rsid w:val="00D90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20CFED"/>
  <w15:chartTrackingRefBased/>
  <w15:docId w15:val="{12C56B3E-5552-4FB7-89A6-2E39D6F11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qFormat/>
    <w:pPr>
      <w:keepNext/>
      <w:keepLines/>
      <w:spacing w:before="280" w:after="80"/>
      <w:outlineLvl w:val="0"/>
    </w:pPr>
    <w:rPr>
      <w:rFonts w:asciiTheme="majorHAnsi" w:eastAsiaTheme="majorEastAsia" w:hAnsiTheme="majorHAnsi"/>
      <w:color w:val="000000" w:themeColor="text1"/>
      <w:sz w:val="32"/>
    </w:rPr>
  </w:style>
  <w:style w:type="paragraph" w:styleId="2">
    <w:name w:val="heading 2"/>
    <w:basedOn w:val="a"/>
    <w:next w:val="a"/>
    <w:link w:val="20"/>
    <w:qFormat/>
    <w:pPr>
      <w:keepNext/>
      <w:keepLines/>
      <w:spacing w:before="160" w:after="80"/>
      <w:outlineLvl w:val="1"/>
    </w:pPr>
    <w:rPr>
      <w:rFonts w:asciiTheme="majorHAnsi" w:eastAsiaTheme="majorEastAsia" w:hAnsiTheme="majorHAnsi"/>
      <w:color w:val="000000" w:themeColor="text1"/>
      <w:sz w:val="28"/>
    </w:rPr>
  </w:style>
  <w:style w:type="paragraph" w:styleId="3">
    <w:name w:val="heading 3"/>
    <w:basedOn w:val="a"/>
    <w:next w:val="a"/>
    <w:link w:val="30"/>
    <w:qFormat/>
    <w:pPr>
      <w:keepNext/>
      <w:keepLines/>
      <w:spacing w:before="160" w:after="80"/>
      <w:outlineLvl w:val="2"/>
    </w:pPr>
    <w:rPr>
      <w:rFonts w:asciiTheme="majorHAnsi" w:eastAsiaTheme="majorEastAsia" w:hAnsiTheme="majorHAnsi"/>
      <w:color w:val="000000" w:themeColor="text1"/>
      <w:sz w:val="24"/>
    </w:rPr>
  </w:style>
  <w:style w:type="paragraph" w:styleId="4">
    <w:name w:val="heading 4"/>
    <w:basedOn w:val="a"/>
    <w:next w:val="a"/>
    <w:link w:val="40"/>
    <w:qFormat/>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qFormat/>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qFormat/>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qFormat/>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qFormat/>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qFormat/>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color w:val="000000" w:themeColor="text1"/>
      <w:sz w:val="32"/>
    </w:rPr>
  </w:style>
  <w:style w:type="character" w:customStyle="1" w:styleId="20">
    <w:name w:val="見出し 2 (文字)"/>
    <w:basedOn w:val="a0"/>
    <w:link w:val="2"/>
    <w:rPr>
      <w:rFonts w:asciiTheme="majorHAnsi" w:eastAsiaTheme="majorEastAsia" w:hAnsiTheme="majorHAnsi"/>
      <w:color w:val="000000" w:themeColor="text1"/>
      <w:sz w:val="28"/>
    </w:rPr>
  </w:style>
  <w:style w:type="character" w:customStyle="1" w:styleId="30">
    <w:name w:val="見出し 3 (文字)"/>
    <w:basedOn w:val="a0"/>
    <w:link w:val="3"/>
    <w:rPr>
      <w:rFonts w:asciiTheme="majorHAnsi" w:eastAsiaTheme="majorEastAsia" w:hAnsiTheme="majorHAnsi"/>
      <w:color w:val="000000" w:themeColor="text1"/>
      <w:sz w:val="24"/>
    </w:rPr>
  </w:style>
  <w:style w:type="character" w:customStyle="1" w:styleId="40">
    <w:name w:val="見出し 4 (文字)"/>
    <w:basedOn w:val="a0"/>
    <w:link w:val="4"/>
    <w:rPr>
      <w:rFonts w:asciiTheme="majorHAnsi" w:eastAsiaTheme="majorEastAsia" w:hAnsiTheme="majorHAnsi"/>
      <w:color w:val="000000" w:themeColor="text1"/>
    </w:rPr>
  </w:style>
  <w:style w:type="character" w:customStyle="1" w:styleId="50">
    <w:name w:val="見出し 5 (文字)"/>
    <w:basedOn w:val="a0"/>
    <w:link w:val="5"/>
    <w:rPr>
      <w:rFonts w:asciiTheme="majorHAnsi" w:eastAsiaTheme="majorEastAsia" w:hAnsiTheme="majorHAnsi"/>
      <w:color w:val="000000" w:themeColor="text1"/>
    </w:rPr>
  </w:style>
  <w:style w:type="character" w:customStyle="1" w:styleId="60">
    <w:name w:val="見出し 6 (文字)"/>
    <w:basedOn w:val="a0"/>
    <w:link w:val="6"/>
    <w:rPr>
      <w:rFonts w:asciiTheme="majorHAnsi" w:eastAsiaTheme="majorEastAsia" w:hAnsiTheme="majorHAnsi"/>
      <w:color w:val="000000" w:themeColor="text1"/>
    </w:rPr>
  </w:style>
  <w:style w:type="character" w:customStyle="1" w:styleId="70">
    <w:name w:val="見出し 7 (文字)"/>
    <w:basedOn w:val="a0"/>
    <w:link w:val="7"/>
    <w:rPr>
      <w:rFonts w:asciiTheme="majorHAnsi" w:eastAsiaTheme="majorEastAsia" w:hAnsiTheme="majorHAnsi"/>
      <w:color w:val="000000" w:themeColor="text1"/>
    </w:rPr>
  </w:style>
  <w:style w:type="character" w:customStyle="1" w:styleId="80">
    <w:name w:val="見出し 8 (文字)"/>
    <w:basedOn w:val="a0"/>
    <w:link w:val="8"/>
    <w:rPr>
      <w:rFonts w:asciiTheme="majorHAnsi" w:eastAsiaTheme="majorEastAsia" w:hAnsiTheme="majorHAnsi"/>
      <w:color w:val="000000" w:themeColor="text1"/>
    </w:rPr>
  </w:style>
  <w:style w:type="character" w:customStyle="1" w:styleId="90">
    <w:name w:val="見出し 9 (文字)"/>
    <w:basedOn w:val="a0"/>
    <w:link w:val="9"/>
    <w:rPr>
      <w:rFonts w:asciiTheme="majorHAnsi" w:eastAsiaTheme="majorEastAsia" w:hAnsiTheme="majorHAnsi"/>
      <w:color w:val="000000" w:themeColor="text1"/>
    </w:rPr>
  </w:style>
  <w:style w:type="paragraph" w:styleId="a3">
    <w:name w:val="Title"/>
    <w:basedOn w:val="a"/>
    <w:next w:val="a"/>
    <w:link w:val="a4"/>
    <w:qFormat/>
    <w:pPr>
      <w:spacing w:after="80"/>
      <w:contextualSpacing/>
      <w:jc w:val="center"/>
    </w:pPr>
    <w:rPr>
      <w:rFonts w:asciiTheme="majorHAnsi" w:eastAsiaTheme="majorEastAsia" w:hAnsiTheme="majorHAnsi"/>
      <w:spacing w:val="-10"/>
      <w:kern w:val="28"/>
      <w:sz w:val="56"/>
    </w:rPr>
  </w:style>
  <w:style w:type="character" w:customStyle="1" w:styleId="a4">
    <w:name w:val="表題 (文字)"/>
    <w:basedOn w:val="a0"/>
    <w:link w:val="a3"/>
    <w:rPr>
      <w:rFonts w:asciiTheme="majorHAnsi" w:eastAsiaTheme="majorEastAsia" w:hAnsiTheme="majorHAnsi"/>
      <w:spacing w:val="-10"/>
      <w:kern w:val="28"/>
      <w:sz w:val="56"/>
    </w:rPr>
  </w:style>
  <w:style w:type="paragraph" w:styleId="a5">
    <w:name w:val="Subtitle"/>
    <w:basedOn w:val="a"/>
    <w:next w:val="a"/>
    <w:link w:val="a6"/>
    <w:qFormat/>
    <w:pPr>
      <w:spacing w:after="160"/>
      <w:jc w:val="center"/>
    </w:pPr>
    <w:rPr>
      <w:rFonts w:asciiTheme="majorHAnsi" w:eastAsiaTheme="majorEastAsia" w:hAnsiTheme="majorHAnsi"/>
      <w:color w:val="595959" w:themeColor="text1" w:themeTint="A6"/>
      <w:spacing w:val="15"/>
      <w:sz w:val="28"/>
    </w:rPr>
  </w:style>
  <w:style w:type="character" w:customStyle="1" w:styleId="a6">
    <w:name w:val="副題 (文字)"/>
    <w:basedOn w:val="a0"/>
    <w:link w:val="a5"/>
    <w:rPr>
      <w:rFonts w:asciiTheme="majorHAnsi" w:eastAsiaTheme="majorEastAsia" w:hAnsiTheme="majorHAnsi"/>
      <w:color w:val="595959" w:themeColor="text1" w:themeTint="A6"/>
      <w:spacing w:val="15"/>
      <w:sz w:val="28"/>
    </w:rPr>
  </w:style>
  <w:style w:type="paragraph" w:styleId="a7">
    <w:name w:val="Quote"/>
    <w:basedOn w:val="a"/>
    <w:next w:val="a"/>
    <w:link w:val="a8"/>
    <w:qFormat/>
    <w:pPr>
      <w:spacing w:before="160" w:after="160"/>
      <w:jc w:val="center"/>
    </w:pPr>
    <w:rPr>
      <w:i/>
      <w:color w:val="404040" w:themeColor="text1" w:themeTint="BF"/>
    </w:rPr>
  </w:style>
  <w:style w:type="character" w:customStyle="1" w:styleId="a8">
    <w:name w:val="引用文 (文字)"/>
    <w:basedOn w:val="a0"/>
    <w:link w:val="a7"/>
    <w:rPr>
      <w:i/>
      <w:color w:val="404040" w:themeColor="text1" w:themeTint="BF"/>
    </w:rPr>
  </w:style>
  <w:style w:type="paragraph" w:styleId="a9">
    <w:name w:val="List Paragraph"/>
    <w:basedOn w:val="a"/>
    <w:qFormat/>
    <w:pPr>
      <w:ind w:left="720"/>
      <w:contextualSpacing/>
    </w:pPr>
  </w:style>
  <w:style w:type="character" w:styleId="21">
    <w:name w:val="Intense Emphasis"/>
    <w:basedOn w:val="a0"/>
    <w:qFormat/>
    <w:rPr>
      <w:i/>
      <w:color w:val="0F4761" w:themeColor="accent1" w:themeShade="BF"/>
    </w:rPr>
  </w:style>
  <w:style w:type="paragraph" w:styleId="22">
    <w:name w:val="Intense Quote"/>
    <w:basedOn w:val="a"/>
    <w:next w:val="a"/>
    <w:link w:val="23"/>
    <w:qFormat/>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23">
    <w:name w:val="引用文 2 (文字)"/>
    <w:basedOn w:val="a0"/>
    <w:link w:val="22"/>
    <w:rPr>
      <w:i/>
      <w:color w:val="0F4761" w:themeColor="accent1" w:themeShade="BF"/>
    </w:rPr>
  </w:style>
  <w:style w:type="character" w:styleId="24">
    <w:name w:val="Intense Reference"/>
    <w:basedOn w:val="a0"/>
    <w:qFormat/>
    <w:rPr>
      <w:b/>
      <w:smallCaps/>
      <w:color w:val="0F4761" w:themeColor="accent1" w:themeShade="BF"/>
      <w:spacing w:val="5"/>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paragraph" w:styleId="af0">
    <w:name w:val="Balloon Text"/>
    <w:basedOn w:val="a"/>
    <w:semiHidden/>
    <w:rPr>
      <w:rFonts w:asciiTheme="majorHAnsi" w:eastAsiaTheme="majorEastAsia" w:hAnsiTheme="majorHAnsi"/>
      <w:sz w:val="18"/>
    </w:rPr>
  </w:style>
  <w:style w:type="paragraph" w:styleId="af1">
    <w:name w:val="annotation text"/>
    <w:basedOn w:val="a"/>
    <w:link w:val="af2"/>
    <w:semiHidden/>
  </w:style>
  <w:style w:type="character" w:customStyle="1" w:styleId="af2">
    <w:name w:val="コメント文字列 (文字)"/>
    <w:basedOn w:val="a0"/>
    <w:link w:val="af1"/>
  </w:style>
  <w:style w:type="character" w:styleId="af3">
    <w:name w:val="annotation reference"/>
    <w:basedOn w:val="a0"/>
    <w:semiHidden/>
    <w:rPr>
      <w:sz w:val="18"/>
    </w:rPr>
  </w:style>
  <w:style w:type="table" w:styleId="af4">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src-fs1\&#20849;&#26377;&#12501;&#12457;&#12523;&#12480;\Osaka_Shared\home2\261420_&#30494;&#26408;_&#24029;&#35199;&#30010;&#31532;8&#26399;&#38556;&#23475;&#31119;&#31049;&#35336;&#30011;&#21450;&#12403;&#31532;4&#26399;&#38556;&#23475;&#20816;&#31119;&#31049;&#35336;&#30011;&#31574;&#23450;&#20107;&#26989;\08_&#35336;&#30011;&#26989;&#21209;\&#29694;&#29366;&#20998;&#26512;\&#12464;&#12521;&#12501;&#20316;&#2510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rc-fs1\&#20849;&#26377;&#12501;&#12457;&#12523;&#12480;\Osaka_Shared\home2\261420_&#30494;&#26408;_&#24029;&#35199;&#30010;&#31532;8&#26399;&#38556;&#23475;&#31119;&#31049;&#35336;&#30011;&#21450;&#12403;&#31532;4&#26399;&#38556;&#23475;&#20816;&#31119;&#31049;&#35336;&#30011;&#31574;&#23450;&#20107;&#26989;\08_&#35336;&#30011;&#26989;&#21209;\&#29694;&#29366;&#20998;&#26512;\&#12464;&#12521;&#12501;&#20316;&#2510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rc-fs1\&#20849;&#26377;&#12501;&#12457;&#12523;&#12480;\Osaka_Shared\home2\261420_&#30494;&#26408;_&#24029;&#35199;&#30010;&#31532;8&#26399;&#38556;&#23475;&#31119;&#31049;&#35336;&#30011;&#21450;&#12403;&#31532;4&#26399;&#38556;&#23475;&#20816;&#31119;&#31049;&#35336;&#30011;&#31574;&#23450;&#20107;&#26989;\08_&#35336;&#30011;&#26989;&#21209;\&#29694;&#29366;&#20998;&#26512;\&#12464;&#12521;&#12501;&#20316;&#2510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rc-fs1\&#20849;&#26377;&#12501;&#12457;&#12523;&#12480;\Osaka_Shared\home2\261420_&#30494;&#26408;_&#24029;&#35199;&#30010;&#31532;8&#26399;&#38556;&#23475;&#31119;&#31049;&#35336;&#30011;&#21450;&#12403;&#31532;4&#26399;&#38556;&#23475;&#20816;&#31119;&#31049;&#35336;&#30011;&#31574;&#23450;&#20107;&#26989;\08_&#35336;&#30011;&#26989;&#21209;\&#29694;&#29366;&#20998;&#26512;\&#12464;&#12521;&#12501;&#20316;&#25104;.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vert="horz" wrap="square" anchor="ctr" anchorCtr="1"/>
          <a:lstStyle/>
          <a:p>
            <a:pPr algn="ctr" rtl="0">
              <a:defRPr lang="ja-JP" altLang="en-US" sz="840" b="0" i="0" u="none" strike="noStrike" kern="1200" spc="0" baseline="0">
                <a:solidFill>
                  <a:schemeClr val="tx1">
                    <a:lumMod val="65000"/>
                    <a:lumOff val="35000"/>
                  </a:schemeClr>
                </a:solidFill>
                <a:latin typeface="BIZ UDPゴシック"/>
                <a:ea typeface="BIZ UDPゴシック"/>
                <a:cs typeface="+mn-cs"/>
              </a:defRPr>
            </a:pPr>
            <a:r>
              <a:rPr lang="ja-JP" altLang="en-US" sz="840" b="0" i="0" u="none" strike="noStrike" kern="1200" spc="0" baseline="0">
                <a:solidFill>
                  <a:schemeClr val="tx1">
                    <a:lumMod val="65000"/>
                    <a:lumOff val="35000"/>
                  </a:schemeClr>
                </a:solidFill>
                <a:latin typeface="BIZ UDPゴシック"/>
                <a:ea typeface="BIZ UDPゴシック"/>
                <a:cs typeface="+mn-cs"/>
              </a:rPr>
              <a:t>身体障害者手帳所持者数</a:t>
            </a:r>
          </a:p>
        </c:rich>
      </c:tx>
      <c:layout/>
      <c:overlay val="0"/>
      <c:spPr>
        <a:noFill/>
        <a:ln>
          <a:noFill/>
        </a:ln>
        <a:effectLst/>
      </c:spPr>
      <c:txPr>
        <a:bodyPr rot="0" spcFirstLastPara="1" vertOverflow="ellipsis" horzOverflow="overflow" vert="horz" wrap="square" anchor="ctr" anchorCtr="1"/>
        <a:lstStyle/>
        <a:p>
          <a:pPr algn="ctr" rtl="0">
            <a:defRPr lang="ja-JP" altLang="en-US" sz="840" b="0" i="0" u="none" strike="noStrike" kern="1200" spc="0" baseline="0">
              <a:solidFill>
                <a:schemeClr val="tx1">
                  <a:lumMod val="65000"/>
                  <a:lumOff val="35000"/>
                </a:schemeClr>
              </a:solidFill>
              <a:latin typeface="BIZ UDPゴシック"/>
              <a:ea typeface="BIZ UDPゴシック"/>
              <a:cs typeface="+mn-cs"/>
            </a:defRPr>
          </a:pPr>
          <a:endParaRPr lang="ja-JP"/>
        </a:p>
      </c:txPr>
    </c:title>
    <c:autoTitleDeleted val="0"/>
    <c:plotArea>
      <c:layout>
        <c:manualLayout>
          <c:layoutTarget val="inner"/>
          <c:xMode val="edge"/>
          <c:yMode val="edge"/>
          <c:x val="8.5320961485595384E-2"/>
          <c:y val="0.12350468800517297"/>
          <c:w val="0.82945468137831735"/>
          <c:h val="0.68962172647914644"/>
        </c:manualLayout>
      </c:layout>
      <c:barChart>
        <c:barDir val="col"/>
        <c:grouping val="stacked"/>
        <c:varyColors val="0"/>
        <c:ser>
          <c:idx val="0"/>
          <c:order val="0"/>
          <c:tx>
            <c:strRef>
              <c:f>身体障害者手帳所持者数!$K$6</c:f>
              <c:strCache>
                <c:ptCount val="1"/>
                <c:pt idx="0">
                  <c:v>18歳未満</c:v>
                </c:pt>
              </c:strCache>
            </c:strRef>
          </c:tx>
          <c:spPr>
            <a:solidFill>
              <a:srgbClr val="A2D8F0"/>
            </a:solidFill>
            <a:ln>
              <a:solidFill>
                <a:schemeClr val="tx1"/>
              </a:solidFill>
            </a:ln>
            <a:effectLst/>
          </c:spPr>
          <c:invertIfNegative val="0"/>
          <c:dPt>
            <c:idx val="0"/>
            <c:invertIfNegative val="0"/>
            <c:bubble3D val="0"/>
            <c:spPr>
              <a:solidFill>
                <a:srgbClr val="A2D8F0"/>
              </a:solidFill>
              <a:ln>
                <a:solidFill>
                  <a:schemeClr val="tx1"/>
                </a:solidFill>
              </a:ln>
              <a:effectLst/>
            </c:spPr>
            <c:extLst>
              <c:ext xmlns:c16="http://schemas.microsoft.com/office/drawing/2014/chart" uri="{C3380CC4-5D6E-409C-BE32-E72D297353CC}">
                <c16:uniqueId val="{00000001-E910-4BE4-8BE8-D22B1A7E1868}"/>
              </c:ext>
            </c:extLst>
          </c:dPt>
          <c:dPt>
            <c:idx val="1"/>
            <c:invertIfNegative val="0"/>
            <c:bubble3D val="0"/>
            <c:spPr>
              <a:solidFill>
                <a:srgbClr val="A2D8F0"/>
              </a:solidFill>
              <a:ln>
                <a:solidFill>
                  <a:schemeClr val="tx1"/>
                </a:solidFill>
              </a:ln>
              <a:effectLst/>
            </c:spPr>
            <c:extLst>
              <c:ext xmlns:c16="http://schemas.microsoft.com/office/drawing/2014/chart" uri="{C3380CC4-5D6E-409C-BE32-E72D297353CC}">
                <c16:uniqueId val="{00000003-E910-4BE4-8BE8-D22B1A7E1868}"/>
              </c:ext>
            </c:extLst>
          </c:dPt>
          <c:dPt>
            <c:idx val="2"/>
            <c:invertIfNegative val="0"/>
            <c:bubble3D val="0"/>
            <c:spPr>
              <a:solidFill>
                <a:srgbClr val="A2D8F0"/>
              </a:solidFill>
              <a:ln>
                <a:solidFill>
                  <a:schemeClr val="tx1"/>
                </a:solidFill>
              </a:ln>
              <a:effectLst/>
            </c:spPr>
            <c:extLst>
              <c:ext xmlns:c16="http://schemas.microsoft.com/office/drawing/2014/chart" uri="{C3380CC4-5D6E-409C-BE32-E72D297353CC}">
                <c16:uniqueId val="{00000005-E910-4BE4-8BE8-D22B1A7E1868}"/>
              </c:ext>
            </c:extLst>
          </c:dPt>
          <c:dPt>
            <c:idx val="3"/>
            <c:invertIfNegative val="0"/>
            <c:bubble3D val="0"/>
            <c:spPr>
              <a:solidFill>
                <a:srgbClr val="A2D8F0"/>
              </a:solidFill>
              <a:ln>
                <a:solidFill>
                  <a:schemeClr val="tx1"/>
                </a:solidFill>
              </a:ln>
              <a:effectLst/>
            </c:spPr>
            <c:extLst>
              <c:ext xmlns:c16="http://schemas.microsoft.com/office/drawing/2014/chart" uri="{C3380CC4-5D6E-409C-BE32-E72D297353CC}">
                <c16:uniqueId val="{00000007-E910-4BE4-8BE8-D22B1A7E1868}"/>
              </c:ext>
            </c:extLst>
          </c:dPt>
          <c:dPt>
            <c:idx val="4"/>
            <c:invertIfNegative val="0"/>
            <c:bubble3D val="0"/>
            <c:spPr>
              <a:solidFill>
                <a:srgbClr val="A2D8F0"/>
              </a:solidFill>
              <a:ln>
                <a:solidFill>
                  <a:schemeClr val="tx1"/>
                </a:solidFill>
              </a:ln>
              <a:effectLst/>
            </c:spPr>
            <c:extLst>
              <c:ext xmlns:c16="http://schemas.microsoft.com/office/drawing/2014/chart" uri="{C3380CC4-5D6E-409C-BE32-E72D297353CC}">
                <c16:uniqueId val="{00000009-E910-4BE4-8BE8-D22B1A7E1868}"/>
              </c:ext>
            </c:extLst>
          </c:dPt>
          <c:dLbls>
            <c:dLbl>
              <c:idx val="0"/>
              <c:layout>
                <c:manualLayout>
                  <c:x val="6.0409433258040879E-2"/>
                  <c:y val="-2.8979326277390194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E910-4BE4-8BE8-D22B1A7E1868}"/>
                </c:ext>
              </c:extLst>
            </c:dLbl>
            <c:dLbl>
              <c:idx val="1"/>
              <c:layout>
                <c:manualLayout>
                  <c:x val="6.0409433258040879E-2"/>
                  <c:y val="-2.811723526094081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E910-4BE4-8BE8-D22B1A7E1868}"/>
                </c:ext>
              </c:extLst>
            </c:dLbl>
            <c:dLbl>
              <c:idx val="2"/>
              <c:layout>
                <c:manualLayout>
                  <c:x val="6.0409433258040879E-2"/>
                  <c:y val="-2.811723526094081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E910-4BE4-8BE8-D22B1A7E1868}"/>
                </c:ext>
              </c:extLst>
            </c:dLbl>
            <c:dLbl>
              <c:idx val="3"/>
              <c:layout>
                <c:manualLayout>
                  <c:x val="6.2423081033308903E-2"/>
                  <c:y val="-2.811723526094081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E910-4BE4-8BE8-D22B1A7E1868}"/>
                </c:ext>
              </c:extLst>
            </c:dLbl>
            <c:dLbl>
              <c:idx val="4"/>
              <c:layout>
                <c:manualLayout>
                  <c:x val="5.8395785482772702E-2"/>
                  <c:y val="-2.6393306486272517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E910-4BE4-8BE8-D22B1A7E1868}"/>
                </c:ext>
              </c:extLst>
            </c:dLbl>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身体障害者手帳所持者数!$O$5:$S$5</c:f>
              <c:strCache>
                <c:ptCount val="5"/>
                <c:pt idx="0">
                  <c:v>令和４年</c:v>
                </c:pt>
                <c:pt idx="1">
                  <c:v>令和５年</c:v>
                </c:pt>
                <c:pt idx="2">
                  <c:v>令和６年</c:v>
                </c:pt>
                <c:pt idx="3">
                  <c:v>令和７年</c:v>
                </c:pt>
                <c:pt idx="4">
                  <c:v>令和８年</c:v>
                </c:pt>
              </c:strCache>
            </c:strRef>
          </c:cat>
          <c:val>
            <c:numRef>
              <c:f>身体障害者手帳所持者数!$O$6:$S$6</c:f>
              <c:numCache>
                <c:formatCode>#,##0_);[Red]\(#,##0\)</c:formatCode>
                <c:ptCount val="5"/>
                <c:pt idx="0">
                  <c:v>5</c:v>
                </c:pt>
                <c:pt idx="1">
                  <c:v>6</c:v>
                </c:pt>
                <c:pt idx="2">
                  <c:v>6</c:v>
                </c:pt>
                <c:pt idx="3">
                  <c:v>6</c:v>
                </c:pt>
                <c:pt idx="4">
                  <c:v>8</c:v>
                </c:pt>
              </c:numCache>
            </c:numRef>
          </c:val>
          <c:extLst>
            <c:ext xmlns:c16="http://schemas.microsoft.com/office/drawing/2014/chart" uri="{C3380CC4-5D6E-409C-BE32-E72D297353CC}">
              <c16:uniqueId val="{0000000A-E910-4BE4-8BE8-D22B1A7E1868}"/>
            </c:ext>
          </c:extLst>
        </c:ser>
        <c:ser>
          <c:idx val="2"/>
          <c:order val="2"/>
          <c:tx>
            <c:strRef>
              <c:f>身体障害者手帳所持者数!$K$8</c:f>
              <c:strCache>
                <c:ptCount val="1"/>
                <c:pt idx="0">
                  <c:v>18～64歳</c:v>
                </c:pt>
              </c:strCache>
            </c:strRef>
          </c:tx>
          <c:spPr>
            <a:pattFill prst="pct5">
              <a:fgClr>
                <a:srgbClr val="A2D8F0"/>
              </a:fgClr>
              <a:bgClr>
                <a:schemeClr val="bg1"/>
              </a:bgClr>
            </a:pattFill>
            <a:ln w="9525">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身体障害者手帳所持者数!$O$5:$S$5</c:f>
              <c:strCache>
                <c:ptCount val="5"/>
                <c:pt idx="0">
                  <c:v>令和４年</c:v>
                </c:pt>
                <c:pt idx="1">
                  <c:v>令和５年</c:v>
                </c:pt>
                <c:pt idx="2">
                  <c:v>令和６年</c:v>
                </c:pt>
                <c:pt idx="3">
                  <c:v>令和７年</c:v>
                </c:pt>
                <c:pt idx="4">
                  <c:v>令和８年</c:v>
                </c:pt>
              </c:strCache>
            </c:strRef>
          </c:cat>
          <c:val>
            <c:numRef>
              <c:f>身体障害者手帳所持者数!$O$8:$S$8</c:f>
              <c:numCache>
                <c:formatCode>#,##0_);[Red]\(#,##0\)</c:formatCode>
                <c:ptCount val="5"/>
                <c:pt idx="0">
                  <c:v>76</c:v>
                </c:pt>
                <c:pt idx="1">
                  <c:v>74</c:v>
                </c:pt>
                <c:pt idx="2">
                  <c:v>74</c:v>
                </c:pt>
                <c:pt idx="3">
                  <c:v>72</c:v>
                </c:pt>
                <c:pt idx="4">
                  <c:v>75</c:v>
                </c:pt>
              </c:numCache>
            </c:numRef>
          </c:val>
          <c:extLst>
            <c:ext xmlns:c16="http://schemas.microsoft.com/office/drawing/2014/chart" uri="{C3380CC4-5D6E-409C-BE32-E72D297353CC}">
              <c16:uniqueId val="{0000000B-E910-4BE4-8BE8-D22B1A7E1868}"/>
            </c:ext>
          </c:extLst>
        </c:ser>
        <c:ser>
          <c:idx val="4"/>
          <c:order val="4"/>
          <c:tx>
            <c:strRef>
              <c:f>身体障害者手帳所持者数!$K$10</c:f>
              <c:strCache>
                <c:ptCount val="1"/>
                <c:pt idx="0">
                  <c:v>65歳以上</c:v>
                </c:pt>
              </c:strCache>
            </c:strRef>
          </c:tx>
          <c:spPr>
            <a:solidFill>
              <a:srgbClr val="1F90C3"/>
            </a:solidFill>
            <a:ln w="9525">
              <a:solidFill>
                <a:schemeClr val="tx1"/>
              </a:solidFill>
            </a:ln>
            <a:effectLst/>
          </c:spPr>
          <c:invertIfNegative val="0"/>
          <c:dLbls>
            <c:spPr>
              <a:noFill/>
              <a:ln w="3175">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身体障害者手帳所持者数!$O$5:$S$5</c:f>
              <c:strCache>
                <c:ptCount val="5"/>
                <c:pt idx="0">
                  <c:v>令和４年</c:v>
                </c:pt>
                <c:pt idx="1">
                  <c:v>令和５年</c:v>
                </c:pt>
                <c:pt idx="2">
                  <c:v>令和６年</c:v>
                </c:pt>
                <c:pt idx="3">
                  <c:v>令和７年</c:v>
                </c:pt>
                <c:pt idx="4">
                  <c:v>令和８年</c:v>
                </c:pt>
              </c:strCache>
            </c:strRef>
          </c:cat>
          <c:val>
            <c:numRef>
              <c:f>身体障害者手帳所持者数!$O$10:$S$10</c:f>
              <c:numCache>
                <c:formatCode>#,##0_);[Red]\(#,##0\)</c:formatCode>
                <c:ptCount val="5"/>
                <c:pt idx="0">
                  <c:v>252</c:v>
                </c:pt>
                <c:pt idx="1">
                  <c:v>248</c:v>
                </c:pt>
                <c:pt idx="2">
                  <c:v>256</c:v>
                </c:pt>
                <c:pt idx="3">
                  <c:v>241</c:v>
                </c:pt>
                <c:pt idx="4">
                  <c:v>238</c:v>
                </c:pt>
              </c:numCache>
            </c:numRef>
          </c:val>
          <c:extLst>
            <c:ext xmlns:c16="http://schemas.microsoft.com/office/drawing/2014/chart" uri="{C3380CC4-5D6E-409C-BE32-E72D297353CC}">
              <c16:uniqueId val="{0000000C-E910-4BE4-8BE8-D22B1A7E1868}"/>
            </c:ext>
          </c:extLst>
        </c:ser>
        <c:ser>
          <c:idx val="6"/>
          <c:order val="6"/>
          <c:tx>
            <c:strRef>
              <c:f>身体障害者手帳所持者数!$K$12</c:f>
              <c:strCache>
                <c:ptCount val="1"/>
                <c:pt idx="0">
                  <c:v>計</c:v>
                </c:pt>
              </c:strCache>
            </c:strRef>
          </c:tx>
          <c:spPr>
            <a:noFill/>
            <a:ln>
              <a:no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身体障害者手帳所持者数!$O$5:$S$5</c:f>
              <c:strCache>
                <c:ptCount val="5"/>
                <c:pt idx="0">
                  <c:v>令和４年</c:v>
                </c:pt>
                <c:pt idx="1">
                  <c:v>令和５年</c:v>
                </c:pt>
                <c:pt idx="2">
                  <c:v>令和６年</c:v>
                </c:pt>
                <c:pt idx="3">
                  <c:v>令和７年</c:v>
                </c:pt>
                <c:pt idx="4">
                  <c:v>令和８年</c:v>
                </c:pt>
              </c:strCache>
            </c:strRef>
          </c:cat>
          <c:val>
            <c:numRef>
              <c:f>身体障害者手帳所持者数!$O$12:$S$12</c:f>
              <c:numCache>
                <c:formatCode>#,##0_);[Red]\(#,##0\)</c:formatCode>
                <c:ptCount val="5"/>
                <c:pt idx="0">
                  <c:v>333</c:v>
                </c:pt>
                <c:pt idx="1">
                  <c:v>328</c:v>
                </c:pt>
                <c:pt idx="2">
                  <c:v>336</c:v>
                </c:pt>
                <c:pt idx="3">
                  <c:v>319</c:v>
                </c:pt>
                <c:pt idx="4">
                  <c:v>321</c:v>
                </c:pt>
              </c:numCache>
            </c:numRef>
          </c:val>
          <c:extLst>
            <c:ext xmlns:c16="http://schemas.microsoft.com/office/drawing/2014/chart" uri="{C3380CC4-5D6E-409C-BE32-E72D297353CC}">
              <c16:uniqueId val="{0000000D-E910-4BE4-8BE8-D22B1A7E1868}"/>
            </c:ext>
          </c:extLst>
        </c:ser>
        <c:dLbls>
          <c:showLegendKey val="0"/>
          <c:showVal val="1"/>
          <c:showCatName val="0"/>
          <c:showSerName val="0"/>
          <c:showPercent val="0"/>
          <c:showBubbleSize val="0"/>
        </c:dLbls>
        <c:gapWidth val="150"/>
        <c:overlap val="100"/>
        <c:axId val="1"/>
        <c:axId val="2"/>
        <c:extLst>
          <c:ext xmlns:c15="http://schemas.microsoft.com/office/drawing/2012/chart" uri="{02D57815-91ED-43cb-92C2-25804820EDAC}">
            <c15:filteredBarSeries>
              <c15:ser>
                <c:idx val="1"/>
                <c:order val="1"/>
                <c:spPr>
                  <a:solidFill>
                    <a:schemeClr val="accent2"/>
                  </a:solidFill>
                  <a:ln>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身体障害者手帳所持者数!$O$5:$S$5</c15:sqref>
                        </c15:formulaRef>
                      </c:ext>
                    </c:extLst>
                    <c:strCache>
                      <c:ptCount val="5"/>
                      <c:pt idx="0">
                        <c:v>令和４年</c:v>
                      </c:pt>
                      <c:pt idx="1">
                        <c:v>令和５年</c:v>
                      </c:pt>
                      <c:pt idx="2">
                        <c:v>令和６年</c:v>
                      </c:pt>
                      <c:pt idx="3">
                        <c:v>令和７年</c:v>
                      </c:pt>
                      <c:pt idx="4">
                        <c:v>令和８年</c:v>
                      </c:pt>
                    </c:strCache>
                  </c:strRef>
                </c:cat>
                <c:val>
                  <c:numRef>
                    <c:extLst>
                      <c:ext uri="{02D57815-91ED-43cb-92C2-25804820EDAC}">
                        <c15:formulaRef>
                          <c15:sqref>身体障害者手帳所持者数!$O$7:$S$7</c15:sqref>
                        </c15:formulaRef>
                      </c:ext>
                    </c:extLst>
                    <c:numCache>
                      <c:formatCode>0.0%</c:formatCode>
                      <c:ptCount val="5"/>
                      <c:pt idx="0">
                        <c:v>1.5015015015015015E-2</c:v>
                      </c:pt>
                      <c:pt idx="1">
                        <c:v>1.8292682926829267E-2</c:v>
                      </c:pt>
                      <c:pt idx="2">
                        <c:v>1.7857142857142856E-2</c:v>
                      </c:pt>
                      <c:pt idx="3">
                        <c:v>1.8808777429467086E-2</c:v>
                      </c:pt>
                      <c:pt idx="4">
                        <c:v>2.4922118380062305E-2</c:v>
                      </c:pt>
                    </c:numCache>
                  </c:numRef>
                </c:val>
                <c:extLst>
                  <c:ext xmlns:c16="http://schemas.microsoft.com/office/drawing/2014/chart" uri="{C3380CC4-5D6E-409C-BE32-E72D297353CC}">
                    <c16:uniqueId val="{0000000E-E910-4BE4-8BE8-D22B1A7E1868}"/>
                  </c:ext>
                </c:extLst>
              </c15:ser>
            </c15:filteredBarSeries>
            <c15:filteredBarSeries>
              <c15:ser>
                <c:idx val="3"/>
                <c:order val="3"/>
                <c:spPr>
                  <a:solidFill>
                    <a:schemeClr val="accent4"/>
                  </a:solidFill>
                  <a:ln>
                    <a:noFill/>
                  </a:ln>
                  <a:effectLst/>
                </c:spPr>
                <c:invertIfNegative val="0"/>
                <c:dLbls>
                  <c:spPr>
                    <a:noFill/>
                    <a:ln>
                      <a:noFill/>
                    </a:ln>
                    <a:effectLst/>
                  </c:spPr>
                  <c:txPr>
                    <a:bodyPr rot="0" spcFirstLastPara="1" vertOverflow="ellipsis" horzOverflow="overflow" vert="horz" wrap="square" lIns="38100" tIns="19050" rIns="38100" bIns="19050"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身体障害者手帳所持者数!$O$5:$S$5</c15:sqref>
                        </c15:formulaRef>
                      </c:ext>
                    </c:extLst>
                    <c:strCache>
                      <c:ptCount val="5"/>
                      <c:pt idx="0">
                        <c:v>令和４年</c:v>
                      </c:pt>
                      <c:pt idx="1">
                        <c:v>令和５年</c:v>
                      </c:pt>
                      <c:pt idx="2">
                        <c:v>令和６年</c:v>
                      </c:pt>
                      <c:pt idx="3">
                        <c:v>令和７年</c:v>
                      </c:pt>
                      <c:pt idx="4">
                        <c:v>令和８年</c:v>
                      </c:pt>
                    </c:strCache>
                  </c:strRef>
                </c:cat>
                <c:val>
                  <c:numRef>
                    <c:extLst xmlns:c15="http://schemas.microsoft.com/office/drawing/2012/chart">
                      <c:ext xmlns:c15="http://schemas.microsoft.com/office/drawing/2012/chart" uri="{02D57815-91ED-43cb-92C2-25804820EDAC}">
                        <c15:formulaRef>
                          <c15:sqref>身体障害者手帳所持者数!$O$9:$S$9</c15:sqref>
                        </c15:formulaRef>
                      </c:ext>
                    </c:extLst>
                    <c:numCache>
                      <c:formatCode>0.0%</c:formatCode>
                      <c:ptCount val="5"/>
                      <c:pt idx="0">
                        <c:v>0.22822822822822822</c:v>
                      </c:pt>
                      <c:pt idx="1">
                        <c:v>0.22560975609756098</c:v>
                      </c:pt>
                      <c:pt idx="2">
                        <c:v>0.22023809523809523</c:v>
                      </c:pt>
                      <c:pt idx="3">
                        <c:v>0.22570532915360503</c:v>
                      </c:pt>
                      <c:pt idx="4">
                        <c:v>0.23364485981308411</c:v>
                      </c:pt>
                    </c:numCache>
                  </c:numRef>
                </c:val>
                <c:extLst>
                  <c:ext xmlns:c16="http://schemas.microsoft.com/office/drawing/2014/chart" uri="{C3380CC4-5D6E-409C-BE32-E72D297353CC}">
                    <c16:uniqueId val="{0000000F-E910-4BE4-8BE8-D22B1A7E1868}"/>
                  </c:ext>
                </c:extLst>
              </c15:ser>
            </c15:filteredBarSeries>
            <c15:filteredBarSeries>
              <c15:ser>
                <c:idx val="5"/>
                <c:order val="5"/>
                <c:spPr>
                  <a:solidFill>
                    <a:schemeClr val="accent6"/>
                  </a:solidFill>
                  <a:ln>
                    <a:noFill/>
                  </a:ln>
                  <a:effectLst/>
                </c:spPr>
                <c:invertIfNegative val="0"/>
                <c:dLbls>
                  <c:spPr>
                    <a:noFill/>
                    <a:ln>
                      <a:noFill/>
                    </a:ln>
                    <a:effectLst/>
                  </c:spPr>
                  <c:txPr>
                    <a:bodyPr rot="0" spcFirstLastPara="1" vertOverflow="ellipsis" horzOverflow="overflow" vert="horz" wrap="square" lIns="38100" tIns="19050" rIns="38100" bIns="19050"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身体障害者手帳所持者数!$O$5:$S$5</c15:sqref>
                        </c15:formulaRef>
                      </c:ext>
                    </c:extLst>
                    <c:strCache>
                      <c:ptCount val="5"/>
                      <c:pt idx="0">
                        <c:v>令和４年</c:v>
                      </c:pt>
                      <c:pt idx="1">
                        <c:v>令和５年</c:v>
                      </c:pt>
                      <c:pt idx="2">
                        <c:v>令和６年</c:v>
                      </c:pt>
                      <c:pt idx="3">
                        <c:v>令和７年</c:v>
                      </c:pt>
                      <c:pt idx="4">
                        <c:v>令和８年</c:v>
                      </c:pt>
                    </c:strCache>
                  </c:strRef>
                </c:cat>
                <c:val>
                  <c:numRef>
                    <c:extLst xmlns:c15="http://schemas.microsoft.com/office/drawing/2012/chart">
                      <c:ext xmlns:c15="http://schemas.microsoft.com/office/drawing/2012/chart" uri="{02D57815-91ED-43cb-92C2-25804820EDAC}">
                        <c15:formulaRef>
                          <c15:sqref>身体障害者手帳所持者数!$O$11:$S$11</c15:sqref>
                        </c15:formulaRef>
                      </c:ext>
                    </c:extLst>
                    <c:numCache>
                      <c:formatCode>0.0%</c:formatCode>
                      <c:ptCount val="5"/>
                      <c:pt idx="0">
                        <c:v>0.7567567567567568</c:v>
                      </c:pt>
                      <c:pt idx="1">
                        <c:v>0.75609756097560976</c:v>
                      </c:pt>
                      <c:pt idx="2">
                        <c:v>0.76190476190476186</c:v>
                      </c:pt>
                      <c:pt idx="3">
                        <c:v>0.75548589341692785</c:v>
                      </c:pt>
                      <c:pt idx="4">
                        <c:v>0.74143302180685355</c:v>
                      </c:pt>
                    </c:numCache>
                  </c:numRef>
                </c:val>
                <c:extLst>
                  <c:ext xmlns:c16="http://schemas.microsoft.com/office/drawing/2014/chart" uri="{C3380CC4-5D6E-409C-BE32-E72D297353CC}">
                    <c16:uniqueId val="{00000010-E910-4BE4-8BE8-D22B1A7E1868}"/>
                  </c:ext>
                </c:extLst>
              </c15:ser>
            </c15:filteredBarSeries>
          </c:ext>
        </c:extLst>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vert="horz"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crossAx val="2"/>
        <c:crosses val="autoZero"/>
        <c:auto val="1"/>
        <c:lblAlgn val="ctr"/>
        <c:lblOffset val="100"/>
        <c:noMultiLvlLbl val="0"/>
      </c:catAx>
      <c:valAx>
        <c:axId val="2"/>
        <c:scaling>
          <c:orientation val="minMax"/>
          <c:max val="4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horzOverflow="overflow"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r>
                  <a:rPr lang="ja-JP" altLang="en-US" sz="700" b="0" i="0" u="none" strike="noStrike" kern="1200" baseline="0">
                    <a:solidFill>
                      <a:schemeClr val="tx1">
                        <a:lumMod val="65000"/>
                        <a:lumOff val="35000"/>
                      </a:schemeClr>
                    </a:solidFill>
                    <a:latin typeface="BIZ UDPゴシック"/>
                    <a:ea typeface="BIZ UDPゴシック"/>
                    <a:cs typeface="+mn-cs"/>
                  </a:rPr>
                  <a:t>（人）</a:t>
                </a:r>
                <a:endParaRPr lang="en-US" altLang="en-US" sz="700" b="0" i="0" u="none" strike="noStrike" kern="1200" baseline="0">
                  <a:solidFill>
                    <a:schemeClr val="tx1">
                      <a:lumMod val="65000"/>
                      <a:lumOff val="35000"/>
                    </a:schemeClr>
                  </a:solidFill>
                  <a:latin typeface="BIZ UDPゴシック"/>
                  <a:ea typeface="BIZ UDPゴシック"/>
                  <a:cs typeface="+mn-cs"/>
                </a:endParaRPr>
              </a:p>
            </c:rich>
          </c:tx>
          <c:layout>
            <c:manualLayout>
              <c:xMode val="edge"/>
              <c:yMode val="edge"/>
              <c:x val="1.0587465437524073E-2"/>
              <c:y val="2.1766947378023246E-2"/>
            </c:manualLayout>
          </c:layout>
          <c:overlay val="0"/>
          <c:spPr>
            <a:noFill/>
            <a:ln>
              <a:noFill/>
            </a:ln>
            <a:effectLst/>
          </c:spPr>
          <c:txPr>
            <a:bodyPr rot="0" spcFirstLastPara="1" vertOverflow="ellipsis" horzOverflow="overflow"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title>
        <c:numFmt formatCode="#,##0_);[Red]\(#,##0\)" sourceLinked="1"/>
        <c:majorTickMark val="none"/>
        <c:minorTickMark val="none"/>
        <c:tickLblPos val="nextTo"/>
        <c:spPr>
          <a:noFill/>
          <a:ln>
            <a:noFill/>
          </a:ln>
          <a:effectLst/>
        </c:spPr>
        <c:txPr>
          <a:bodyPr rot="-60000000" spcFirstLastPara="1" vertOverflow="ellipsis" horzOverflow="overflow" vert="horz"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crossAx val="1"/>
        <c:crosses val="autoZero"/>
        <c:crossBetween val="between"/>
      </c:valAx>
      <c:spPr>
        <a:noFill/>
        <a:ln>
          <a:noFill/>
        </a:ln>
        <a:effectLst/>
      </c:spPr>
    </c:plotArea>
    <c:legend>
      <c:legendPos val="b"/>
      <c:legendEntry>
        <c:idx val="3"/>
        <c:delete val="1"/>
      </c:legendEntry>
      <c:layout>
        <c:manualLayout>
          <c:xMode val="edge"/>
          <c:yMode val="edge"/>
          <c:x val="0.24400685593515214"/>
          <c:y val="0.90156319322643907"/>
          <c:w val="0.5354892013293755"/>
          <c:h val="6.223465525752838E-2"/>
        </c:manualLayout>
      </c:layout>
      <c:overlay val="0"/>
      <c:spPr>
        <a:noFill/>
        <a:ln>
          <a:noFill/>
        </a:ln>
        <a:effectLst/>
      </c:spPr>
      <c:txPr>
        <a:bodyPr rot="0" spcFirstLastPara="1" vertOverflow="ellipsis" horzOverflow="overflow" vert="horz" wrap="square" anchor="ctr" anchorCtr="1"/>
        <a:lstStyle/>
        <a:p>
          <a:pPr algn="l"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legend>
    <c:plotVisOnly val="1"/>
    <c:dispBlanksAs val="gap"/>
    <c:showDLblsOverMax val="0"/>
  </c:chart>
  <c:spPr>
    <a:solidFill>
      <a:schemeClr val="bg1"/>
    </a:solidFill>
    <a:ln w="9525" cap="flat" cmpd="sng" algn="ctr">
      <a:solidFill>
        <a:schemeClr val="tx1"/>
      </a:solidFill>
      <a:round/>
    </a:ln>
    <a:effectLst/>
  </c:spPr>
  <c:txPr>
    <a:bodyPr vertOverflow="overflow" horzOverflow="overflow" anchor="ctr" anchorCtr="1"/>
    <a:lstStyle/>
    <a:p>
      <a:pPr algn="ctr" rtl="0">
        <a:defRPr lang="ja-JP" altLang="en-US" sz="700" b="0">
          <a:latin typeface="BIZ UDPゴシック"/>
          <a:ea typeface="BIZ UDPゴシック"/>
        </a:defRPr>
      </a:pPr>
      <a:endParaRPr lang="ja-JP"/>
    </a:p>
  </c:txPr>
  <c:externalData r:id="rId3">
    <c:autoUpdate val="0"/>
  </c:externalData>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vert="horz" wrap="square" anchor="ctr" anchorCtr="1"/>
          <a:lstStyle/>
          <a:p>
            <a:pPr algn="ctr" rtl="0">
              <a:defRPr lang="ja-JP" altLang="en-US" sz="720" b="0" i="0" u="none" strike="noStrike" kern="1200" spc="0" baseline="0">
                <a:solidFill>
                  <a:schemeClr val="tx1">
                    <a:lumMod val="65000"/>
                    <a:lumOff val="35000"/>
                  </a:schemeClr>
                </a:solidFill>
                <a:latin typeface="BIZ UDPゴシック"/>
                <a:ea typeface="BIZ UDPゴシック"/>
                <a:cs typeface="+mn-cs"/>
              </a:defRPr>
            </a:pPr>
            <a:r>
              <a:rPr lang="ja-JP" altLang="en-US" sz="720" b="0" i="0" u="none" strike="noStrike" kern="1200" spc="0" baseline="0">
                <a:solidFill>
                  <a:schemeClr val="tx1">
                    <a:lumMod val="65000"/>
                    <a:lumOff val="35000"/>
                  </a:schemeClr>
                </a:solidFill>
                <a:latin typeface="BIZ UDPゴシック"/>
                <a:ea typeface="BIZ UDPゴシック"/>
                <a:cs typeface="+mn-cs"/>
              </a:rPr>
              <a:t>障害者手帳所持者数の推移</a:t>
            </a:r>
          </a:p>
        </c:rich>
      </c:tx>
      <c:layout/>
      <c:overlay val="0"/>
      <c:spPr>
        <a:noFill/>
        <a:ln>
          <a:noFill/>
        </a:ln>
        <a:effectLst/>
      </c:spPr>
      <c:txPr>
        <a:bodyPr rot="0" spcFirstLastPara="1" vertOverflow="ellipsis" horzOverflow="overflow" vert="horz" wrap="square" anchor="ctr" anchorCtr="1"/>
        <a:lstStyle/>
        <a:p>
          <a:pPr algn="ctr" rtl="0">
            <a:defRPr lang="ja-JP" altLang="en-US" sz="720" b="0" i="0" u="none" strike="noStrike" kern="1200" spc="0" baseline="0">
              <a:solidFill>
                <a:schemeClr val="tx1">
                  <a:lumMod val="65000"/>
                  <a:lumOff val="35000"/>
                </a:schemeClr>
              </a:solidFill>
              <a:latin typeface="BIZ UDPゴシック"/>
              <a:ea typeface="BIZ UDPゴシック"/>
              <a:cs typeface="+mn-cs"/>
            </a:defRPr>
          </a:pPr>
          <a:endParaRPr lang="ja-JP"/>
        </a:p>
      </c:txPr>
    </c:title>
    <c:autoTitleDeleted val="0"/>
    <c:plotArea>
      <c:layout>
        <c:manualLayout>
          <c:layoutTarget val="inner"/>
          <c:xMode val="edge"/>
          <c:yMode val="edge"/>
          <c:x val="8.5320961485595384E-2"/>
          <c:y val="0.12350468800517297"/>
          <c:w val="0.82945468137831735"/>
          <c:h val="0.66328599444256831"/>
        </c:manualLayout>
      </c:layout>
      <c:barChart>
        <c:barDir val="col"/>
        <c:grouping val="clustered"/>
        <c:varyColors val="0"/>
        <c:ser>
          <c:idx val="0"/>
          <c:order val="0"/>
          <c:tx>
            <c:strRef>
              <c:f>障害者手帳所持者数!$K$6</c:f>
              <c:strCache>
                <c:ptCount val="1"/>
                <c:pt idx="0">
                  <c:v>身体障害者手帳所持者</c:v>
                </c:pt>
              </c:strCache>
            </c:strRef>
          </c:tx>
          <c:spPr>
            <a:solidFill>
              <a:srgbClr val="1F90C3"/>
            </a:solidFill>
            <a:ln>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6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障害者手帳所持者数!$O$5:$S$5</c:f>
              <c:strCache>
                <c:ptCount val="5"/>
                <c:pt idx="0">
                  <c:v>令和４年</c:v>
                </c:pt>
                <c:pt idx="1">
                  <c:v>令和５年</c:v>
                </c:pt>
                <c:pt idx="2">
                  <c:v>令和６年</c:v>
                </c:pt>
                <c:pt idx="3">
                  <c:v>令和７年</c:v>
                </c:pt>
                <c:pt idx="4">
                  <c:v>令和８年</c:v>
                </c:pt>
              </c:strCache>
            </c:strRef>
          </c:cat>
          <c:val>
            <c:numRef>
              <c:f>障害者手帳所持者数!$O$6:$S$6</c:f>
              <c:numCache>
                <c:formatCode>#,##0_);[Red]\(#,##0\)</c:formatCode>
                <c:ptCount val="5"/>
                <c:pt idx="0">
                  <c:v>333</c:v>
                </c:pt>
                <c:pt idx="1">
                  <c:v>328</c:v>
                </c:pt>
                <c:pt idx="2">
                  <c:v>336</c:v>
                </c:pt>
                <c:pt idx="3">
                  <c:v>319</c:v>
                </c:pt>
                <c:pt idx="4">
                  <c:v>321</c:v>
                </c:pt>
              </c:numCache>
            </c:numRef>
          </c:val>
          <c:extLst>
            <c:ext xmlns:c16="http://schemas.microsoft.com/office/drawing/2014/chart" uri="{C3380CC4-5D6E-409C-BE32-E72D297353CC}">
              <c16:uniqueId val="{00000000-99FA-4B3E-B9F7-63DF86C64CCD}"/>
            </c:ext>
          </c:extLst>
        </c:ser>
        <c:ser>
          <c:idx val="1"/>
          <c:order val="1"/>
          <c:tx>
            <c:strRef>
              <c:f>障害者手帳所持者数!$K$7</c:f>
              <c:strCache>
                <c:ptCount val="1"/>
                <c:pt idx="0">
                  <c:v>療育手帳所持者</c:v>
                </c:pt>
              </c:strCache>
            </c:strRef>
          </c:tx>
          <c:spPr>
            <a:pattFill prst="pct10">
              <a:fgClr>
                <a:srgbClr val="F3AC89"/>
              </a:fgClr>
              <a:bgClr>
                <a:schemeClr val="bg1"/>
              </a:bgClr>
            </a:pattFill>
            <a:ln>
              <a:solidFill>
                <a:schemeClr val="tx1"/>
              </a:solidFill>
            </a:ln>
            <a:effectLst/>
          </c:spPr>
          <c:invertIfNegative val="0"/>
          <c:dPt>
            <c:idx val="0"/>
            <c:invertIfNegative val="0"/>
            <c:bubble3D val="0"/>
            <c:spPr>
              <a:pattFill prst="pct10">
                <a:fgClr>
                  <a:srgbClr val="F3AC89"/>
                </a:fgClr>
                <a:bgClr>
                  <a:schemeClr val="bg1"/>
                </a:bgClr>
              </a:pattFill>
              <a:ln>
                <a:solidFill>
                  <a:schemeClr val="tx1"/>
                </a:solidFill>
              </a:ln>
              <a:effectLst/>
            </c:spPr>
            <c:extLst>
              <c:ext xmlns:c16="http://schemas.microsoft.com/office/drawing/2014/chart" uri="{C3380CC4-5D6E-409C-BE32-E72D297353CC}">
                <c16:uniqueId val="{00000002-99FA-4B3E-B9F7-63DF86C64CCD}"/>
              </c:ext>
            </c:extLst>
          </c:dPt>
          <c:dPt>
            <c:idx val="1"/>
            <c:invertIfNegative val="0"/>
            <c:bubble3D val="0"/>
            <c:spPr>
              <a:pattFill prst="pct10">
                <a:fgClr>
                  <a:srgbClr val="F3AC89"/>
                </a:fgClr>
                <a:bgClr>
                  <a:schemeClr val="bg1"/>
                </a:bgClr>
              </a:pattFill>
              <a:ln>
                <a:solidFill>
                  <a:schemeClr val="tx1"/>
                </a:solidFill>
              </a:ln>
              <a:effectLst/>
            </c:spPr>
            <c:extLst>
              <c:ext xmlns:c16="http://schemas.microsoft.com/office/drawing/2014/chart" uri="{C3380CC4-5D6E-409C-BE32-E72D297353CC}">
                <c16:uniqueId val="{00000004-99FA-4B3E-B9F7-63DF86C64CCD}"/>
              </c:ext>
            </c:extLst>
          </c:dPt>
          <c:dPt>
            <c:idx val="2"/>
            <c:invertIfNegative val="0"/>
            <c:bubble3D val="0"/>
            <c:spPr>
              <a:pattFill prst="pct10">
                <a:fgClr>
                  <a:srgbClr val="F3AC89"/>
                </a:fgClr>
                <a:bgClr>
                  <a:schemeClr val="bg1"/>
                </a:bgClr>
              </a:pattFill>
              <a:ln>
                <a:solidFill>
                  <a:schemeClr val="tx1"/>
                </a:solidFill>
              </a:ln>
              <a:effectLst/>
            </c:spPr>
            <c:extLst>
              <c:ext xmlns:c16="http://schemas.microsoft.com/office/drawing/2014/chart" uri="{C3380CC4-5D6E-409C-BE32-E72D297353CC}">
                <c16:uniqueId val="{00000006-99FA-4B3E-B9F7-63DF86C64CCD}"/>
              </c:ext>
            </c:extLst>
          </c:dPt>
          <c:dPt>
            <c:idx val="3"/>
            <c:invertIfNegative val="0"/>
            <c:bubble3D val="0"/>
            <c:spPr>
              <a:pattFill prst="pct10">
                <a:fgClr>
                  <a:srgbClr val="F3AC89"/>
                </a:fgClr>
                <a:bgClr>
                  <a:schemeClr val="bg1"/>
                </a:bgClr>
              </a:pattFill>
              <a:ln>
                <a:solidFill>
                  <a:schemeClr val="tx1"/>
                </a:solidFill>
              </a:ln>
              <a:effectLst/>
            </c:spPr>
            <c:extLst>
              <c:ext xmlns:c16="http://schemas.microsoft.com/office/drawing/2014/chart" uri="{C3380CC4-5D6E-409C-BE32-E72D297353CC}">
                <c16:uniqueId val="{00000008-99FA-4B3E-B9F7-63DF86C64CCD}"/>
              </c:ext>
            </c:extLst>
          </c:dPt>
          <c:dPt>
            <c:idx val="4"/>
            <c:invertIfNegative val="0"/>
            <c:bubble3D val="0"/>
            <c:spPr>
              <a:pattFill prst="pct10">
                <a:fgClr>
                  <a:srgbClr val="F3AC89"/>
                </a:fgClr>
                <a:bgClr>
                  <a:schemeClr val="bg1"/>
                </a:bgClr>
              </a:pattFill>
              <a:ln>
                <a:solidFill>
                  <a:schemeClr val="tx1"/>
                </a:solidFill>
              </a:ln>
              <a:effectLst/>
            </c:spPr>
            <c:extLst>
              <c:ext xmlns:c16="http://schemas.microsoft.com/office/drawing/2014/chart" uri="{C3380CC4-5D6E-409C-BE32-E72D297353CC}">
                <c16:uniqueId val="{0000000A-99FA-4B3E-B9F7-63DF86C64CCD}"/>
              </c:ext>
            </c:extLst>
          </c:dPt>
          <c:dLbls>
            <c:dLbl>
              <c:idx val="0"/>
              <c:layout>
                <c:manualLayout>
                  <c:x val="7.2740498272413001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9FA-4B3E-B9F7-63DF86C64CCD}"/>
                </c:ext>
              </c:extLst>
            </c:dLbl>
            <c:dLbl>
              <c:idx val="1"/>
              <c:layout>
                <c:manualLayout>
                  <c:x val="1.0911074740861976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9FA-4B3E-B9F7-63DF86C64CCD}"/>
                </c:ext>
              </c:extLst>
            </c:dLbl>
            <c:dLbl>
              <c:idx val="2"/>
              <c:layout>
                <c:manualLayout>
                  <c:x val="1.0911074740861908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99FA-4B3E-B9F7-63DF86C64CCD}"/>
                </c:ext>
              </c:extLst>
            </c:dLbl>
            <c:dLbl>
              <c:idx val="3"/>
              <c:layout>
                <c:manualLayout>
                  <c:x val="1.0911074740862108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99FA-4B3E-B9F7-63DF86C64CCD}"/>
                </c:ext>
              </c:extLst>
            </c:dLbl>
            <c:dLbl>
              <c:idx val="4"/>
              <c:layout>
                <c:manualLayout>
                  <c:x val="1.0911074740861842E-2"/>
                  <c:y val="-9.6540924421004685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99FA-4B3E-B9F7-63DF86C64CCD}"/>
                </c:ext>
              </c:extLst>
            </c:dLbl>
            <c:spPr>
              <a:noFill/>
              <a:ln>
                <a:noFill/>
              </a:ln>
              <a:effectLst/>
            </c:spPr>
            <c:txPr>
              <a:bodyPr rot="0" spcFirstLastPara="1" vertOverflow="ellipsis" horzOverflow="overflow" vert="horz" wrap="square" anchor="ctr" anchorCtr="1">
                <a:spAutoFit/>
              </a:bodyPr>
              <a:lstStyle/>
              <a:p>
                <a:pPr algn="ctr" rtl="0">
                  <a:defRPr lang="ja-JP" altLang="en-US" sz="6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障害者手帳所持者数!$O$5:$S$5</c:f>
              <c:strCache>
                <c:ptCount val="5"/>
                <c:pt idx="0">
                  <c:v>令和４年</c:v>
                </c:pt>
                <c:pt idx="1">
                  <c:v>令和５年</c:v>
                </c:pt>
                <c:pt idx="2">
                  <c:v>令和６年</c:v>
                </c:pt>
                <c:pt idx="3">
                  <c:v>令和７年</c:v>
                </c:pt>
                <c:pt idx="4">
                  <c:v>令和８年</c:v>
                </c:pt>
              </c:strCache>
            </c:strRef>
          </c:cat>
          <c:val>
            <c:numRef>
              <c:f>障害者手帳所持者数!$O$7:$S$7</c:f>
              <c:numCache>
                <c:formatCode>#,##0_);[Red]\(#,##0\)</c:formatCode>
                <c:ptCount val="5"/>
                <c:pt idx="0">
                  <c:v>111</c:v>
                </c:pt>
                <c:pt idx="1">
                  <c:v>115</c:v>
                </c:pt>
                <c:pt idx="2">
                  <c:v>126</c:v>
                </c:pt>
                <c:pt idx="3">
                  <c:v>130</c:v>
                </c:pt>
                <c:pt idx="4">
                  <c:v>136</c:v>
                </c:pt>
              </c:numCache>
            </c:numRef>
          </c:val>
          <c:extLst>
            <c:ext xmlns:c16="http://schemas.microsoft.com/office/drawing/2014/chart" uri="{C3380CC4-5D6E-409C-BE32-E72D297353CC}">
              <c16:uniqueId val="{0000000B-99FA-4B3E-B9F7-63DF86C64CCD}"/>
            </c:ext>
          </c:extLst>
        </c:ser>
        <c:ser>
          <c:idx val="2"/>
          <c:order val="2"/>
          <c:tx>
            <c:strRef>
              <c:f>障害者手帳所持者数!$K$8</c:f>
              <c:strCache>
                <c:ptCount val="1"/>
                <c:pt idx="0">
                  <c:v>精神障害者保健福祉手帳所持者</c:v>
                </c:pt>
              </c:strCache>
            </c:strRef>
          </c:tx>
          <c:spPr>
            <a:solidFill>
              <a:srgbClr val="D0F4D5"/>
            </a:solidFill>
            <a:ln>
              <a:solidFill>
                <a:schemeClr val="tx1"/>
              </a:solidFill>
            </a:ln>
            <a:effectLst/>
          </c:spPr>
          <c:invertIfNegative val="0"/>
          <c:dPt>
            <c:idx val="0"/>
            <c:invertIfNegative val="0"/>
            <c:bubble3D val="0"/>
            <c:spPr>
              <a:solidFill>
                <a:srgbClr val="D0F4D5"/>
              </a:solidFill>
              <a:ln>
                <a:solidFill>
                  <a:schemeClr val="tx1"/>
                </a:solidFill>
              </a:ln>
              <a:effectLst/>
            </c:spPr>
            <c:extLst>
              <c:ext xmlns:c16="http://schemas.microsoft.com/office/drawing/2014/chart" uri="{C3380CC4-5D6E-409C-BE32-E72D297353CC}">
                <c16:uniqueId val="{0000000D-99FA-4B3E-B9F7-63DF86C64CCD}"/>
              </c:ext>
            </c:extLst>
          </c:dPt>
          <c:dPt>
            <c:idx val="1"/>
            <c:invertIfNegative val="0"/>
            <c:bubble3D val="0"/>
            <c:spPr>
              <a:solidFill>
                <a:srgbClr val="D0F4D5"/>
              </a:solidFill>
              <a:ln>
                <a:solidFill>
                  <a:schemeClr val="tx1"/>
                </a:solidFill>
              </a:ln>
              <a:effectLst/>
            </c:spPr>
            <c:extLst>
              <c:ext xmlns:c16="http://schemas.microsoft.com/office/drawing/2014/chart" uri="{C3380CC4-5D6E-409C-BE32-E72D297353CC}">
                <c16:uniqueId val="{0000000F-99FA-4B3E-B9F7-63DF86C64CCD}"/>
              </c:ext>
            </c:extLst>
          </c:dPt>
          <c:dPt>
            <c:idx val="2"/>
            <c:invertIfNegative val="0"/>
            <c:bubble3D val="0"/>
            <c:spPr>
              <a:solidFill>
                <a:srgbClr val="D0F4D5"/>
              </a:solidFill>
              <a:ln>
                <a:solidFill>
                  <a:schemeClr val="tx1"/>
                </a:solidFill>
              </a:ln>
              <a:effectLst/>
            </c:spPr>
            <c:extLst>
              <c:ext xmlns:c16="http://schemas.microsoft.com/office/drawing/2014/chart" uri="{C3380CC4-5D6E-409C-BE32-E72D297353CC}">
                <c16:uniqueId val="{00000011-99FA-4B3E-B9F7-63DF86C64CCD}"/>
              </c:ext>
            </c:extLst>
          </c:dPt>
          <c:dPt>
            <c:idx val="3"/>
            <c:invertIfNegative val="0"/>
            <c:bubble3D val="0"/>
            <c:spPr>
              <a:solidFill>
                <a:srgbClr val="D0F4D5"/>
              </a:solidFill>
              <a:ln>
                <a:solidFill>
                  <a:schemeClr val="tx1"/>
                </a:solidFill>
              </a:ln>
              <a:effectLst/>
            </c:spPr>
            <c:extLst>
              <c:ext xmlns:c16="http://schemas.microsoft.com/office/drawing/2014/chart" uri="{C3380CC4-5D6E-409C-BE32-E72D297353CC}">
                <c16:uniqueId val="{00000013-99FA-4B3E-B9F7-63DF86C64CCD}"/>
              </c:ext>
            </c:extLst>
          </c:dPt>
          <c:dPt>
            <c:idx val="4"/>
            <c:invertIfNegative val="0"/>
            <c:bubble3D val="0"/>
            <c:spPr>
              <a:solidFill>
                <a:srgbClr val="D0F4D5"/>
              </a:solidFill>
              <a:ln>
                <a:solidFill>
                  <a:schemeClr val="tx1"/>
                </a:solidFill>
              </a:ln>
              <a:effectLst/>
            </c:spPr>
            <c:extLst>
              <c:ext xmlns:c16="http://schemas.microsoft.com/office/drawing/2014/chart" uri="{C3380CC4-5D6E-409C-BE32-E72D297353CC}">
                <c16:uniqueId val="{00000015-99FA-4B3E-B9F7-63DF86C64CCD}"/>
              </c:ext>
            </c:extLst>
          </c:dPt>
          <c:dLbls>
            <c:dLbl>
              <c:idx val="0"/>
              <c:layout>
                <c:manualLayout>
                  <c:x val="7.2740498272413166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99FA-4B3E-B9F7-63DF86C64CCD}"/>
                </c:ext>
              </c:extLst>
            </c:dLbl>
            <c:dLbl>
              <c:idx val="1"/>
              <c:layout>
                <c:manualLayout>
                  <c:x val="7.2740498272412498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99FA-4B3E-B9F7-63DF86C64CCD}"/>
                </c:ext>
              </c:extLst>
            </c:dLbl>
            <c:dLbl>
              <c:idx val="2"/>
              <c:layout>
                <c:manualLayout>
                  <c:x val="3.6370249136206583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1-99FA-4B3E-B9F7-63DF86C64CCD}"/>
                </c:ext>
              </c:extLst>
            </c:dLbl>
            <c:dLbl>
              <c:idx val="3"/>
              <c:layout>
                <c:manualLayout>
                  <c:x val="3.6370249136206583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3-99FA-4B3E-B9F7-63DF86C64CCD}"/>
                </c:ext>
              </c:extLst>
            </c:dLbl>
            <c:dLbl>
              <c:idx val="4"/>
              <c:layout>
                <c:manualLayout>
                  <c:x val="1.0911074740861842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5-99FA-4B3E-B9F7-63DF86C64CCD}"/>
                </c:ext>
              </c:extLst>
            </c:dLbl>
            <c:spPr>
              <a:noFill/>
              <a:ln>
                <a:noFill/>
              </a:ln>
              <a:effectLst/>
            </c:spPr>
            <c:txPr>
              <a:bodyPr rot="0" spcFirstLastPara="1" vertOverflow="ellipsis" horzOverflow="overflow" vert="horz" wrap="square" anchor="ctr" anchorCtr="1">
                <a:spAutoFit/>
              </a:bodyPr>
              <a:lstStyle/>
              <a:p>
                <a:pPr algn="ctr" rtl="0">
                  <a:defRPr lang="ja-JP" altLang="en-US" sz="6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障害者手帳所持者数!$O$5:$S$5</c:f>
              <c:strCache>
                <c:ptCount val="5"/>
                <c:pt idx="0">
                  <c:v>令和４年</c:v>
                </c:pt>
                <c:pt idx="1">
                  <c:v>令和５年</c:v>
                </c:pt>
                <c:pt idx="2">
                  <c:v>令和６年</c:v>
                </c:pt>
                <c:pt idx="3">
                  <c:v>令和７年</c:v>
                </c:pt>
                <c:pt idx="4">
                  <c:v>令和８年</c:v>
                </c:pt>
              </c:strCache>
            </c:strRef>
          </c:cat>
          <c:val>
            <c:numRef>
              <c:f>障害者手帳所持者数!$O$8:$S$8</c:f>
              <c:numCache>
                <c:formatCode>#,##0_);[Red]\(#,##0\)</c:formatCode>
                <c:ptCount val="5"/>
                <c:pt idx="0">
                  <c:v>77</c:v>
                </c:pt>
                <c:pt idx="1">
                  <c:v>82</c:v>
                </c:pt>
                <c:pt idx="2">
                  <c:v>89</c:v>
                </c:pt>
                <c:pt idx="3">
                  <c:v>92</c:v>
                </c:pt>
                <c:pt idx="4">
                  <c:v>100</c:v>
                </c:pt>
              </c:numCache>
            </c:numRef>
          </c:val>
          <c:extLst>
            <c:ext xmlns:c16="http://schemas.microsoft.com/office/drawing/2014/chart" uri="{C3380CC4-5D6E-409C-BE32-E72D297353CC}">
              <c16:uniqueId val="{00000016-99FA-4B3E-B9F7-63DF86C64CCD}"/>
            </c:ext>
          </c:extLst>
        </c:ser>
        <c:dLbls>
          <c:showLegendKey val="0"/>
          <c:showVal val="1"/>
          <c:showCatName val="0"/>
          <c:showSerName val="0"/>
          <c:showPercent val="0"/>
          <c:showBubbleSize val="0"/>
        </c:dLbls>
        <c:gapWidth val="219"/>
        <c:axId val="1"/>
        <c:axId val="2"/>
        <c:extLst>
          <c:ext xmlns:c15="http://schemas.microsoft.com/office/drawing/2012/chart" uri="{02D57815-91ED-43cb-92C2-25804820EDAC}">
            <c15:filteredBarSeries>
              <c15:ser>
                <c:idx val="3"/>
                <c:order val="3"/>
                <c:tx>
                  <c:strRef>
                    <c:extLst>
                      <c:ext uri="{02D57815-91ED-43cb-92C2-25804820EDAC}">
                        <c15:formulaRef>
                          <c15:sqref>障害者手帳所持者数!$K$9</c15:sqref>
                        </c15:formulaRef>
                      </c:ext>
                    </c:extLst>
                    <c:strCache>
                      <c:ptCount val="1"/>
                      <c:pt idx="0">
                        <c:v>手帳所持者総数</c:v>
                      </c:pt>
                    </c:strCache>
                  </c:strRef>
                </c:tx>
                <c:spPr>
                  <a:solidFill>
                    <a:schemeClr val="accent4"/>
                  </a:solidFill>
                  <a:ln>
                    <a:noFill/>
                  </a:ln>
                  <a:effectLst/>
                </c:spPr>
                <c:invertIfNegative val="0"/>
                <c:dLbls>
                  <c:spPr>
                    <a:noFill/>
                    <a:ln>
                      <a:noFill/>
                    </a:ln>
                    <a:effectLst/>
                  </c:spPr>
                  <c:txPr>
                    <a:bodyPr rot="0" spcFirstLastPara="1" vertOverflow="ellipsis" horzOverflow="overflow" vert="horz" wrap="square" lIns="38100" tIns="19050" rIns="38100" bIns="19050" anchor="ctr" anchorCtr="1">
                      <a:spAutoFit/>
                    </a:bodyPr>
                    <a:lstStyle/>
                    <a:p>
                      <a:pPr algn="ctr" rtl="0">
                        <a:defRPr lang="ja-JP" altLang="en-US" sz="6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障害者手帳所持者数!$O$5:$S$5</c15:sqref>
                        </c15:formulaRef>
                      </c:ext>
                    </c:extLst>
                    <c:strCache>
                      <c:ptCount val="5"/>
                      <c:pt idx="0">
                        <c:v>令和４年</c:v>
                      </c:pt>
                      <c:pt idx="1">
                        <c:v>令和５年</c:v>
                      </c:pt>
                      <c:pt idx="2">
                        <c:v>令和６年</c:v>
                      </c:pt>
                      <c:pt idx="3">
                        <c:v>令和７年</c:v>
                      </c:pt>
                      <c:pt idx="4">
                        <c:v>令和８年</c:v>
                      </c:pt>
                    </c:strCache>
                  </c:strRef>
                </c:cat>
                <c:val>
                  <c:numRef>
                    <c:extLst>
                      <c:ext uri="{02D57815-91ED-43cb-92C2-25804820EDAC}">
                        <c15:formulaRef>
                          <c15:sqref>障害者手帳所持者数!$O$9:$S$9</c15:sqref>
                        </c15:formulaRef>
                      </c:ext>
                    </c:extLst>
                    <c:numCache>
                      <c:formatCode>#,##0_ </c:formatCode>
                      <c:ptCount val="5"/>
                      <c:pt idx="0">
                        <c:v>521</c:v>
                      </c:pt>
                      <c:pt idx="1">
                        <c:v>525</c:v>
                      </c:pt>
                      <c:pt idx="2">
                        <c:v>551</c:v>
                      </c:pt>
                      <c:pt idx="3">
                        <c:v>541</c:v>
                      </c:pt>
                      <c:pt idx="4">
                        <c:v>557</c:v>
                      </c:pt>
                    </c:numCache>
                  </c:numRef>
                </c:val>
                <c:extLst>
                  <c:ext xmlns:c16="http://schemas.microsoft.com/office/drawing/2014/chart" uri="{C3380CC4-5D6E-409C-BE32-E72D297353CC}">
                    <c16:uniqueId val="{00000022-99FA-4B3E-B9F7-63DF86C64CCD}"/>
                  </c:ext>
                </c:extLst>
              </c15:ser>
            </c15:filteredBarSeries>
          </c:ext>
        </c:extLst>
      </c:barChart>
      <c:lineChart>
        <c:grouping val="standard"/>
        <c:varyColors val="0"/>
        <c:ser>
          <c:idx val="4"/>
          <c:order val="4"/>
          <c:tx>
            <c:strRef>
              <c:f>障害者手帳所持者数!$K$10</c:f>
              <c:strCache>
                <c:ptCount val="1"/>
                <c:pt idx="0">
                  <c:v>人口に占める手帳所持者数の割合</c:v>
                </c:pt>
              </c:strCache>
            </c:strRef>
          </c:tx>
          <c:spPr>
            <a:ln w="19050" cap="rnd">
              <a:solidFill>
                <a:schemeClr val="tx1"/>
              </a:solidFill>
              <a:round/>
            </a:ln>
            <a:effectLst/>
          </c:spPr>
          <c:marker>
            <c:symbol val="none"/>
          </c:marker>
          <c:dPt>
            <c:idx val="0"/>
            <c:marker>
              <c:symbol val="none"/>
            </c:marker>
            <c:bubble3D val="0"/>
            <c:spPr>
              <a:ln w="19050" cap="rnd">
                <a:solidFill>
                  <a:schemeClr val="tx1"/>
                </a:solidFill>
                <a:round/>
              </a:ln>
              <a:effectLst/>
            </c:spPr>
            <c:extLst>
              <c:ext xmlns:c16="http://schemas.microsoft.com/office/drawing/2014/chart" uri="{C3380CC4-5D6E-409C-BE32-E72D297353CC}">
                <c16:uniqueId val="{00000018-99FA-4B3E-B9F7-63DF86C64CCD}"/>
              </c:ext>
            </c:extLst>
          </c:dPt>
          <c:dPt>
            <c:idx val="1"/>
            <c:marker>
              <c:symbol val="none"/>
            </c:marker>
            <c:bubble3D val="0"/>
            <c:spPr>
              <a:ln w="19050" cap="rnd">
                <a:solidFill>
                  <a:schemeClr val="tx1"/>
                </a:solidFill>
                <a:round/>
              </a:ln>
              <a:effectLst/>
            </c:spPr>
            <c:extLst>
              <c:ext xmlns:c16="http://schemas.microsoft.com/office/drawing/2014/chart" uri="{C3380CC4-5D6E-409C-BE32-E72D297353CC}">
                <c16:uniqueId val="{0000001A-99FA-4B3E-B9F7-63DF86C64CCD}"/>
              </c:ext>
            </c:extLst>
          </c:dPt>
          <c:dPt>
            <c:idx val="2"/>
            <c:marker>
              <c:symbol val="none"/>
            </c:marker>
            <c:bubble3D val="0"/>
            <c:spPr>
              <a:ln w="19050" cap="rnd">
                <a:solidFill>
                  <a:schemeClr val="tx1"/>
                </a:solidFill>
                <a:round/>
              </a:ln>
              <a:effectLst/>
            </c:spPr>
            <c:extLst>
              <c:ext xmlns:c16="http://schemas.microsoft.com/office/drawing/2014/chart" uri="{C3380CC4-5D6E-409C-BE32-E72D297353CC}">
                <c16:uniqueId val="{0000001C-99FA-4B3E-B9F7-63DF86C64CCD}"/>
              </c:ext>
            </c:extLst>
          </c:dPt>
          <c:dPt>
            <c:idx val="3"/>
            <c:marker>
              <c:symbol val="none"/>
            </c:marker>
            <c:bubble3D val="0"/>
            <c:spPr>
              <a:ln w="19050" cap="rnd">
                <a:solidFill>
                  <a:schemeClr val="tx1"/>
                </a:solidFill>
                <a:round/>
              </a:ln>
              <a:effectLst/>
            </c:spPr>
            <c:extLst>
              <c:ext xmlns:c16="http://schemas.microsoft.com/office/drawing/2014/chart" uri="{C3380CC4-5D6E-409C-BE32-E72D297353CC}">
                <c16:uniqueId val="{0000001E-99FA-4B3E-B9F7-63DF86C64CCD}"/>
              </c:ext>
            </c:extLst>
          </c:dPt>
          <c:dPt>
            <c:idx val="4"/>
            <c:marker>
              <c:symbol val="none"/>
            </c:marker>
            <c:bubble3D val="0"/>
            <c:spPr>
              <a:ln w="19050" cap="rnd">
                <a:solidFill>
                  <a:schemeClr val="tx1"/>
                </a:solidFill>
                <a:round/>
              </a:ln>
              <a:effectLst/>
            </c:spPr>
            <c:extLst>
              <c:ext xmlns:c16="http://schemas.microsoft.com/office/drawing/2014/chart" uri="{C3380CC4-5D6E-409C-BE32-E72D297353CC}">
                <c16:uniqueId val="{00000020-99FA-4B3E-B9F7-63DF86C64CCD}"/>
              </c:ext>
            </c:extLst>
          </c:dPt>
          <c:dLbls>
            <c:dLbl>
              <c:idx val="0"/>
              <c:layout>
                <c:manualLayout>
                  <c:x val="-3.6333878887070375E-2"/>
                  <c:y val="-5.739863085834649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8-99FA-4B3E-B9F7-63DF86C64CCD}"/>
                </c:ext>
              </c:extLst>
            </c:dLbl>
            <c:dLbl>
              <c:idx val="1"/>
              <c:layout>
                <c:manualLayout>
                  <c:x val="-4.360792871431169E-2"/>
                  <c:y val="-5.739863085834649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A-99FA-4B3E-B9F7-63DF86C64CCD}"/>
                </c:ext>
              </c:extLst>
            </c:dLbl>
            <c:dLbl>
              <c:idx val="2"/>
              <c:layout>
                <c:manualLayout>
                  <c:x val="-3.6333878887070375E-2"/>
                  <c:y val="-5.739863085834649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C-99FA-4B3E-B9F7-63DF86C64CCD}"/>
                </c:ext>
              </c:extLst>
            </c:dLbl>
            <c:dLbl>
              <c:idx val="3"/>
              <c:layout>
                <c:manualLayout>
                  <c:x val="-3.9970903800691168E-2"/>
                  <c:y val="-5.739863085834649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E-99FA-4B3E-B9F7-63DF86C64CCD}"/>
                </c:ext>
              </c:extLst>
            </c:dLbl>
            <c:dLbl>
              <c:idx val="4"/>
              <c:layout>
                <c:manualLayout>
                  <c:x val="-1.6876855925490347E-2"/>
                  <c:y val="-4.154542515357261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20-99FA-4B3E-B9F7-63DF86C64CCD}"/>
                </c:ext>
              </c:extLst>
            </c:dLbl>
            <c:spPr>
              <a:noFill/>
              <a:ln w="3175">
                <a:solidFill>
                  <a:schemeClr val="tx1"/>
                </a:solidFill>
              </a:ln>
              <a:effectLst/>
            </c:spPr>
            <c:txPr>
              <a:bodyPr rot="0" spcFirstLastPara="1" vertOverflow="ellipsis" horzOverflow="overflow" vert="horz" wrap="square" anchor="ctr" anchorCtr="1">
                <a:spAutoFit/>
              </a:bodyPr>
              <a:lstStyle/>
              <a:p>
                <a:pPr algn="ctr" rtl="0">
                  <a:defRPr lang="ja-JP" altLang="en-US" sz="600" b="0" i="0" u="none" strike="noStrike" kern="1200" baseline="0">
                    <a:solidFill>
                      <a:schemeClr val="tx1">
                        <a:lumMod val="75000"/>
                        <a:lumOff val="25000"/>
                      </a:schemeClr>
                    </a:solidFill>
                    <a:latin typeface="BIZ UDPゴシック"/>
                    <a:ea typeface="BIZ UDPゴシック"/>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障害者手帳所持者数!$O$5:$S$5</c:f>
              <c:strCache>
                <c:ptCount val="5"/>
                <c:pt idx="0">
                  <c:v>令和４年</c:v>
                </c:pt>
                <c:pt idx="1">
                  <c:v>令和５年</c:v>
                </c:pt>
                <c:pt idx="2">
                  <c:v>令和６年</c:v>
                </c:pt>
                <c:pt idx="3">
                  <c:v>令和７年</c:v>
                </c:pt>
                <c:pt idx="4">
                  <c:v>令和８年</c:v>
                </c:pt>
              </c:strCache>
            </c:strRef>
          </c:cat>
          <c:val>
            <c:numRef>
              <c:f>障害者手帳所持者数!$O$10:$S$10</c:f>
              <c:numCache>
                <c:formatCode>#,##0.0_ </c:formatCode>
                <c:ptCount val="5"/>
                <c:pt idx="0">
                  <c:v>6.2710640346653825</c:v>
                </c:pt>
                <c:pt idx="1">
                  <c:v>6.4173083975064174</c:v>
                </c:pt>
                <c:pt idx="2">
                  <c:v>6.8574984443061604</c:v>
                </c:pt>
                <c:pt idx="3">
                  <c:v>6.789658634538152</c:v>
                </c:pt>
                <c:pt idx="4">
                  <c:v>7.0115810674723056</c:v>
                </c:pt>
              </c:numCache>
            </c:numRef>
          </c:val>
          <c:smooth val="0"/>
          <c:extLst>
            <c:ext xmlns:c16="http://schemas.microsoft.com/office/drawing/2014/chart" uri="{C3380CC4-5D6E-409C-BE32-E72D297353CC}">
              <c16:uniqueId val="{00000021-99FA-4B3E-B9F7-63DF86C64CCD}"/>
            </c:ext>
          </c:extLst>
        </c:ser>
        <c:dLbls>
          <c:showLegendKey val="0"/>
          <c:showVal val="1"/>
          <c:showCatName val="0"/>
          <c:showSerName val="0"/>
          <c:showPercent val="0"/>
          <c:showBubbleSize val="0"/>
        </c:dLbls>
        <c:marker val="1"/>
        <c:smooth val="0"/>
        <c:axId val="11"/>
        <c:axId val="1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vert="horz" wrap="square" anchor="ctr" anchorCtr="1"/>
          <a:lstStyle/>
          <a:p>
            <a:pPr algn="ctr" rtl="0">
              <a:defRPr lang="ja-JP" altLang="en-US" sz="600" b="0" i="0" u="none" strike="noStrike" kern="1200" baseline="0">
                <a:solidFill>
                  <a:schemeClr val="tx1">
                    <a:lumMod val="65000"/>
                    <a:lumOff val="35000"/>
                  </a:schemeClr>
                </a:solidFill>
                <a:latin typeface="BIZ UDPゴシック"/>
                <a:ea typeface="BIZ UDPゴシック"/>
                <a:cs typeface="+mn-cs"/>
              </a:defRPr>
            </a:pPr>
            <a:endParaRPr lang="ja-JP"/>
          </a:p>
        </c:txPr>
        <c:crossAx val="2"/>
        <c:crosses val="autoZero"/>
        <c:auto val="1"/>
        <c:lblAlgn val="ctr"/>
        <c:lblOffset val="100"/>
        <c:noMultiLvlLbl val="0"/>
      </c:catAx>
      <c:valAx>
        <c:axId val="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horzOverflow="overflow" wrap="square" anchor="ctr" anchorCtr="1"/>
              <a:lstStyle/>
              <a:p>
                <a:pPr algn="ctr" rtl="0">
                  <a:defRPr lang="ja-JP" altLang="en-US" sz="600" b="0" i="0" u="none" strike="noStrike" kern="1200" baseline="0">
                    <a:solidFill>
                      <a:schemeClr val="tx1">
                        <a:lumMod val="65000"/>
                        <a:lumOff val="35000"/>
                      </a:schemeClr>
                    </a:solidFill>
                    <a:latin typeface="BIZ UDPゴシック"/>
                    <a:ea typeface="BIZ UDPゴシック"/>
                    <a:cs typeface="+mn-cs"/>
                  </a:defRPr>
                </a:pPr>
                <a:r>
                  <a:rPr lang="ja-JP" altLang="en-US" sz="600" b="0" i="0" u="none" strike="noStrike" kern="1200" baseline="0">
                    <a:solidFill>
                      <a:schemeClr val="tx1">
                        <a:lumMod val="65000"/>
                        <a:lumOff val="35000"/>
                      </a:schemeClr>
                    </a:solidFill>
                    <a:latin typeface="BIZ UDPゴシック"/>
                    <a:ea typeface="BIZ UDPゴシック"/>
                    <a:cs typeface="+mn-cs"/>
                  </a:rPr>
                  <a:t>（人）</a:t>
                </a:r>
                <a:endParaRPr lang="en-US" altLang="en-US" sz="600" b="0" i="0" u="none" strike="noStrike" kern="1200" baseline="0">
                  <a:solidFill>
                    <a:schemeClr val="tx1">
                      <a:lumMod val="65000"/>
                      <a:lumOff val="35000"/>
                    </a:schemeClr>
                  </a:solidFill>
                  <a:latin typeface="BIZ UDPゴシック"/>
                  <a:ea typeface="BIZ UDPゴシック"/>
                  <a:cs typeface="+mn-cs"/>
                </a:endParaRPr>
              </a:p>
            </c:rich>
          </c:tx>
          <c:layout>
            <c:manualLayout>
              <c:xMode val="edge"/>
              <c:yMode val="edge"/>
              <c:x val="2.3185031494631091E-2"/>
              <c:y val="3.5079797489768756E-2"/>
            </c:manualLayout>
          </c:layout>
          <c:overlay val="0"/>
          <c:spPr>
            <a:noFill/>
            <a:ln>
              <a:noFill/>
            </a:ln>
            <a:effectLst/>
          </c:spPr>
          <c:txPr>
            <a:bodyPr rot="0" spcFirstLastPara="1" vertOverflow="ellipsis" horzOverflow="overflow" wrap="square" anchor="ctr" anchorCtr="1"/>
            <a:lstStyle/>
            <a:p>
              <a:pPr algn="ctr" rtl="0">
                <a:defRPr lang="ja-JP" altLang="en-US" sz="600" b="0" i="0" u="none" strike="noStrike" kern="1200" baseline="0">
                  <a:solidFill>
                    <a:schemeClr val="tx1">
                      <a:lumMod val="65000"/>
                      <a:lumOff val="35000"/>
                    </a:schemeClr>
                  </a:solidFill>
                  <a:latin typeface="BIZ UDPゴシック"/>
                  <a:ea typeface="BIZ UDPゴシック"/>
                  <a:cs typeface="+mn-cs"/>
                </a:defRPr>
              </a:pPr>
              <a:endParaRPr lang="ja-JP"/>
            </a:p>
          </c:txPr>
        </c:title>
        <c:numFmt formatCode="#,##0_);[Red]\(#,##0\)" sourceLinked="1"/>
        <c:majorTickMark val="none"/>
        <c:minorTickMark val="none"/>
        <c:tickLblPos val="nextTo"/>
        <c:spPr>
          <a:noFill/>
          <a:ln>
            <a:noFill/>
          </a:ln>
          <a:effectLst/>
        </c:spPr>
        <c:txPr>
          <a:bodyPr rot="-60000000" spcFirstLastPara="1" vertOverflow="ellipsis" horzOverflow="overflow" vert="horz" wrap="square" anchor="ctr" anchorCtr="1"/>
          <a:lstStyle/>
          <a:p>
            <a:pPr algn="ctr" rtl="0">
              <a:defRPr lang="ja-JP" altLang="en-US" sz="600" b="0" i="0" u="none" strike="noStrike" kern="1200" baseline="0">
                <a:solidFill>
                  <a:schemeClr val="tx1">
                    <a:lumMod val="65000"/>
                    <a:lumOff val="35000"/>
                  </a:schemeClr>
                </a:solidFill>
                <a:latin typeface="BIZ UDPゴシック"/>
                <a:ea typeface="BIZ UDPゴシック"/>
                <a:cs typeface="+mn-cs"/>
              </a:defRPr>
            </a:pPr>
            <a:endParaRPr lang="ja-JP"/>
          </a:p>
        </c:txPr>
        <c:crossAx val="1"/>
        <c:crosses val="autoZero"/>
        <c:crossBetween val="between"/>
      </c:valAx>
      <c:catAx>
        <c:axId val="11"/>
        <c:scaling>
          <c:orientation val="minMax"/>
        </c:scaling>
        <c:delete val="1"/>
        <c:axPos val="b"/>
        <c:numFmt formatCode="General" sourceLinked="1"/>
        <c:majorTickMark val="out"/>
        <c:minorTickMark val="none"/>
        <c:tickLblPos val="nextTo"/>
        <c:crossAx val="12"/>
        <c:crosses val="autoZero"/>
        <c:auto val="1"/>
        <c:lblAlgn val="ctr"/>
        <c:lblOffset val="100"/>
        <c:noMultiLvlLbl val="0"/>
      </c:catAx>
      <c:valAx>
        <c:axId val="12"/>
        <c:scaling>
          <c:orientation val="minMax"/>
          <c:max val="7.5"/>
          <c:min val="5.5"/>
        </c:scaling>
        <c:delete val="0"/>
        <c:axPos val="r"/>
        <c:title>
          <c:tx>
            <c:rich>
              <a:bodyPr rot="0" spcFirstLastPara="1" vertOverflow="ellipsis" horzOverflow="overflow" wrap="square" anchor="ctr" anchorCtr="1"/>
              <a:lstStyle/>
              <a:p>
                <a:pPr algn="ctr" rtl="0">
                  <a:defRPr lang="ja-JP" altLang="en-US" sz="600" b="0" i="0" u="none" strike="noStrike" kern="1200" baseline="0">
                    <a:solidFill>
                      <a:schemeClr val="tx1">
                        <a:lumMod val="65000"/>
                        <a:lumOff val="35000"/>
                      </a:schemeClr>
                    </a:solidFill>
                    <a:latin typeface="BIZ UDPゴシック"/>
                    <a:ea typeface="BIZ UDPゴシック"/>
                    <a:cs typeface="+mn-cs"/>
                  </a:defRPr>
                </a:pPr>
                <a:r>
                  <a:rPr lang="ja-JP" altLang="en-US" sz="600" b="0" i="0" u="none" strike="noStrike" kern="1200" baseline="0">
                    <a:solidFill>
                      <a:schemeClr val="tx1">
                        <a:lumMod val="65000"/>
                        <a:lumOff val="35000"/>
                      </a:schemeClr>
                    </a:solidFill>
                    <a:latin typeface="BIZ UDPゴシック"/>
                    <a:ea typeface="BIZ UDPゴシック"/>
                    <a:cs typeface="+mn-cs"/>
                  </a:rPr>
                  <a:t>（％）</a:t>
                </a:r>
              </a:p>
            </c:rich>
          </c:tx>
          <c:layout>
            <c:manualLayout>
              <c:xMode val="edge"/>
              <c:yMode val="edge"/>
              <c:x val="0.91692032767589815"/>
              <c:y val="3.1850580288838304E-2"/>
            </c:manualLayout>
          </c:layout>
          <c:overlay val="0"/>
          <c:spPr>
            <a:noFill/>
            <a:ln>
              <a:noFill/>
            </a:ln>
            <a:effectLst/>
          </c:spPr>
          <c:txPr>
            <a:bodyPr rot="0" spcFirstLastPara="1" vertOverflow="ellipsis" horzOverflow="overflow" wrap="square" anchor="ctr" anchorCtr="1"/>
            <a:lstStyle/>
            <a:p>
              <a:pPr algn="ctr" rtl="0">
                <a:defRPr lang="ja-JP" altLang="en-US" sz="600" b="0" i="0" u="none" strike="noStrike" kern="1200" baseline="0">
                  <a:solidFill>
                    <a:schemeClr val="tx1">
                      <a:lumMod val="65000"/>
                      <a:lumOff val="35000"/>
                    </a:schemeClr>
                  </a:solidFill>
                  <a:latin typeface="BIZ UDPゴシック"/>
                  <a:ea typeface="BIZ UDPゴシック"/>
                  <a:cs typeface="+mn-cs"/>
                </a:defRPr>
              </a:pPr>
              <a:endParaRPr lang="ja-JP"/>
            </a:p>
          </c:txPr>
        </c:title>
        <c:numFmt formatCode="#,##0.0_ " sourceLinked="1"/>
        <c:majorTickMark val="out"/>
        <c:minorTickMark val="none"/>
        <c:tickLblPos val="nextTo"/>
        <c:spPr>
          <a:noFill/>
          <a:ln>
            <a:noFill/>
          </a:ln>
          <a:effectLst/>
        </c:spPr>
        <c:txPr>
          <a:bodyPr rot="-60000000" spcFirstLastPara="1" vertOverflow="ellipsis" horzOverflow="overflow" vert="horz" wrap="square" anchor="ctr" anchorCtr="1"/>
          <a:lstStyle/>
          <a:p>
            <a:pPr algn="ctr" rtl="0">
              <a:defRPr lang="ja-JP" altLang="en-US" sz="600" b="0" i="0" u="none" strike="noStrike" kern="1200" baseline="0">
                <a:solidFill>
                  <a:schemeClr val="tx1">
                    <a:lumMod val="65000"/>
                    <a:lumOff val="35000"/>
                  </a:schemeClr>
                </a:solidFill>
                <a:latin typeface="BIZ UDPゴシック"/>
                <a:ea typeface="BIZ UDPゴシック"/>
                <a:cs typeface="+mn-cs"/>
              </a:defRPr>
            </a:pPr>
            <a:endParaRPr lang="ja-JP"/>
          </a:p>
        </c:txPr>
        <c:crossAx val="11"/>
        <c:crosses val="max"/>
        <c:crossBetween val="between"/>
      </c:valAx>
      <c:spPr>
        <a:noFill/>
        <a:ln>
          <a:noFill/>
        </a:ln>
        <a:effectLst/>
      </c:spPr>
    </c:plotArea>
    <c:legend>
      <c:legendPos val="b"/>
      <c:layout/>
      <c:overlay val="0"/>
      <c:spPr>
        <a:noFill/>
        <a:ln>
          <a:noFill/>
        </a:ln>
        <a:effectLst/>
      </c:spPr>
      <c:txPr>
        <a:bodyPr rot="0" spcFirstLastPara="1" vertOverflow="ellipsis" horzOverflow="overflow" vert="horz" wrap="square" anchor="ctr" anchorCtr="1"/>
        <a:lstStyle/>
        <a:p>
          <a:pPr algn="l" rtl="0">
            <a:defRPr lang="ja-JP" altLang="en-US" sz="600" b="0" i="0" u="none" strike="noStrike" kern="1200" baseline="0">
              <a:solidFill>
                <a:schemeClr val="tx1">
                  <a:lumMod val="65000"/>
                  <a:lumOff val="35000"/>
                </a:schemeClr>
              </a:solidFill>
              <a:latin typeface="BIZ UDPゴシック"/>
              <a:ea typeface="BIZ UDPゴシック"/>
              <a:cs typeface="+mn-cs"/>
            </a:defRPr>
          </a:pPr>
          <a:endParaRPr lang="ja-JP"/>
        </a:p>
      </c:txPr>
    </c:legend>
    <c:plotVisOnly val="1"/>
    <c:dispBlanksAs val="gap"/>
    <c:showDLblsOverMax val="0"/>
  </c:chart>
  <c:spPr>
    <a:solidFill>
      <a:schemeClr val="bg1"/>
    </a:solidFill>
    <a:ln w="9525" cap="flat" cmpd="sng" algn="ctr">
      <a:solidFill>
        <a:schemeClr val="tx1"/>
      </a:solidFill>
      <a:round/>
    </a:ln>
    <a:effectLst/>
  </c:spPr>
  <c:txPr>
    <a:bodyPr vertOverflow="overflow" horzOverflow="overflow" anchor="ctr" anchorCtr="1"/>
    <a:lstStyle/>
    <a:p>
      <a:pPr algn="ctr" rtl="0">
        <a:defRPr lang="ja-JP" altLang="en-US" sz="600" b="0">
          <a:latin typeface="BIZ UDPゴシック"/>
          <a:ea typeface="BIZ UDPゴシック"/>
        </a:defRPr>
      </a:pPr>
      <a:endParaRPr lang="ja-JP"/>
    </a:p>
  </c:txPr>
  <c:externalData r:id="rId3">
    <c:autoUpdate val="0"/>
  </c:externalData>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vert="horz" wrap="square" anchor="ctr" anchorCtr="1"/>
          <a:lstStyle/>
          <a:p>
            <a:pPr algn="ctr" rtl="0">
              <a:defRPr lang="ja-JP" altLang="en-US" sz="840" b="0" i="0" u="none" strike="noStrike" kern="1200" spc="0" baseline="0">
                <a:solidFill>
                  <a:schemeClr val="tx1">
                    <a:lumMod val="65000"/>
                    <a:lumOff val="35000"/>
                  </a:schemeClr>
                </a:solidFill>
                <a:latin typeface="BIZ UDPゴシック"/>
                <a:ea typeface="BIZ UDPゴシック"/>
                <a:cs typeface="+mn-cs"/>
              </a:defRPr>
            </a:pPr>
            <a:r>
              <a:rPr lang="ja-JP" altLang="en-US" sz="840" b="0" i="0" u="none" strike="noStrike" kern="1200" spc="0" baseline="0">
                <a:solidFill>
                  <a:schemeClr val="tx1">
                    <a:lumMod val="65000"/>
                    <a:lumOff val="35000"/>
                  </a:schemeClr>
                </a:solidFill>
                <a:latin typeface="BIZ UDPゴシック"/>
                <a:ea typeface="BIZ UDPゴシック"/>
                <a:cs typeface="+mn-cs"/>
              </a:rPr>
              <a:t>精神障害者保健福祉手帳所持者数</a:t>
            </a:r>
          </a:p>
        </c:rich>
      </c:tx>
      <c:layout/>
      <c:overlay val="0"/>
      <c:spPr>
        <a:noFill/>
        <a:ln>
          <a:noFill/>
        </a:ln>
        <a:effectLst/>
      </c:spPr>
      <c:txPr>
        <a:bodyPr rot="0" spcFirstLastPara="1" vertOverflow="ellipsis" horzOverflow="overflow" vert="horz" wrap="square" anchor="ctr" anchorCtr="1"/>
        <a:lstStyle/>
        <a:p>
          <a:pPr algn="ctr" rtl="0">
            <a:defRPr lang="ja-JP" altLang="en-US" sz="840" b="0" i="0" u="none" strike="noStrike" kern="1200" spc="0" baseline="0">
              <a:solidFill>
                <a:schemeClr val="tx1">
                  <a:lumMod val="65000"/>
                  <a:lumOff val="35000"/>
                </a:schemeClr>
              </a:solidFill>
              <a:latin typeface="BIZ UDPゴシック"/>
              <a:ea typeface="BIZ UDPゴシック"/>
              <a:cs typeface="+mn-cs"/>
            </a:defRPr>
          </a:pPr>
          <a:endParaRPr lang="ja-JP"/>
        </a:p>
      </c:txPr>
    </c:title>
    <c:autoTitleDeleted val="0"/>
    <c:plotArea>
      <c:layout>
        <c:manualLayout>
          <c:layoutTarget val="inner"/>
          <c:xMode val="edge"/>
          <c:yMode val="edge"/>
          <c:x val="8.5320961485595384E-2"/>
          <c:y val="0.12350468800517297"/>
          <c:w val="0.82945468137831735"/>
          <c:h val="0.70256036044984915"/>
        </c:manualLayout>
      </c:layout>
      <c:barChart>
        <c:barDir val="col"/>
        <c:grouping val="stacked"/>
        <c:varyColors val="0"/>
        <c:ser>
          <c:idx val="0"/>
          <c:order val="0"/>
          <c:tx>
            <c:strRef>
              <c:f>'精神障害者保健福祉手帳所持者数 '!$K$6</c:f>
              <c:strCache>
                <c:ptCount val="1"/>
                <c:pt idx="0">
                  <c:v>18歳未満</c:v>
                </c:pt>
              </c:strCache>
            </c:strRef>
          </c:tx>
          <c:spPr>
            <a:solidFill>
              <a:srgbClr val="A8EAB1"/>
            </a:solidFill>
            <a:ln>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'精神障害者保健福祉手帳所持者数 '!$O$5:$S$5</c:f>
              <c:strCache>
                <c:ptCount val="5"/>
                <c:pt idx="0">
                  <c:v>令和４年</c:v>
                </c:pt>
                <c:pt idx="1">
                  <c:v>令和５年</c:v>
                </c:pt>
                <c:pt idx="2">
                  <c:v>令和６年</c:v>
                </c:pt>
                <c:pt idx="3">
                  <c:v>令和７年</c:v>
                </c:pt>
                <c:pt idx="4">
                  <c:v>令和８年</c:v>
                </c:pt>
              </c:strCache>
            </c:strRef>
          </c:cat>
          <c:val>
            <c:numRef>
              <c:f>'精神障害者保健福祉手帳所持者数 '!$O$6:$S$6</c:f>
              <c:numCache>
                <c:formatCode>#,##0_);[Red]\(#,##0\)</c:formatCode>
                <c:ptCount val="5"/>
                <c:pt idx="0">
                  <c:v>6</c:v>
                </c:pt>
                <c:pt idx="1">
                  <c:v>6</c:v>
                </c:pt>
                <c:pt idx="2">
                  <c:v>6</c:v>
                </c:pt>
                <c:pt idx="3">
                  <c:v>4</c:v>
                </c:pt>
                <c:pt idx="4">
                  <c:v>4</c:v>
                </c:pt>
              </c:numCache>
            </c:numRef>
          </c:val>
          <c:extLst>
            <c:ext xmlns:c16="http://schemas.microsoft.com/office/drawing/2014/chart" uri="{C3380CC4-5D6E-409C-BE32-E72D297353CC}">
              <c16:uniqueId val="{00000000-72D4-4C8D-A9F8-F9B2BDE8975C}"/>
            </c:ext>
          </c:extLst>
        </c:ser>
        <c:ser>
          <c:idx val="2"/>
          <c:order val="2"/>
          <c:tx>
            <c:strRef>
              <c:f>'精神障害者保健福祉手帳所持者数 '!$K$8</c:f>
              <c:strCache>
                <c:ptCount val="1"/>
                <c:pt idx="0">
                  <c:v>18～64歳</c:v>
                </c:pt>
              </c:strCache>
            </c:strRef>
          </c:tx>
          <c:spPr>
            <a:pattFill prst="pct10">
              <a:fgClr>
                <a:srgbClr val="A8EAB1"/>
              </a:fgClr>
              <a:bgClr>
                <a:schemeClr val="bg1"/>
              </a:bgClr>
            </a:pattFill>
            <a:ln w="9525">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'精神障害者保健福祉手帳所持者数 '!$O$5:$S$5</c:f>
              <c:strCache>
                <c:ptCount val="5"/>
                <c:pt idx="0">
                  <c:v>令和４年</c:v>
                </c:pt>
                <c:pt idx="1">
                  <c:v>令和５年</c:v>
                </c:pt>
                <c:pt idx="2">
                  <c:v>令和６年</c:v>
                </c:pt>
                <c:pt idx="3">
                  <c:v>令和７年</c:v>
                </c:pt>
                <c:pt idx="4">
                  <c:v>令和８年</c:v>
                </c:pt>
              </c:strCache>
            </c:strRef>
          </c:cat>
          <c:val>
            <c:numRef>
              <c:f>'精神障害者保健福祉手帳所持者数 '!$O$8:$S$8</c:f>
              <c:numCache>
                <c:formatCode>#,##0_);[Red]\(#,##0\)</c:formatCode>
                <c:ptCount val="5"/>
                <c:pt idx="0">
                  <c:v>53</c:v>
                </c:pt>
                <c:pt idx="1">
                  <c:v>60</c:v>
                </c:pt>
                <c:pt idx="2">
                  <c:v>64</c:v>
                </c:pt>
                <c:pt idx="3">
                  <c:v>70</c:v>
                </c:pt>
                <c:pt idx="4">
                  <c:v>77</c:v>
                </c:pt>
              </c:numCache>
            </c:numRef>
          </c:val>
          <c:extLst>
            <c:ext xmlns:c16="http://schemas.microsoft.com/office/drawing/2014/chart" uri="{C3380CC4-5D6E-409C-BE32-E72D297353CC}">
              <c16:uniqueId val="{00000001-72D4-4C8D-A9F8-F9B2BDE8975C}"/>
            </c:ext>
          </c:extLst>
        </c:ser>
        <c:ser>
          <c:idx val="4"/>
          <c:order val="4"/>
          <c:tx>
            <c:strRef>
              <c:f>'精神障害者保健福祉手帳所持者数 '!$K$10</c:f>
              <c:strCache>
                <c:ptCount val="1"/>
                <c:pt idx="0">
                  <c:v>65歳以上</c:v>
                </c:pt>
              </c:strCache>
            </c:strRef>
          </c:tx>
          <c:spPr>
            <a:solidFill>
              <a:srgbClr val="29A93B"/>
            </a:solidFill>
            <a:ln w="9525">
              <a:solidFill>
                <a:schemeClr val="tx1"/>
              </a:solidFill>
            </a:ln>
            <a:effectLst/>
          </c:spPr>
          <c:invertIfNegative val="0"/>
          <c:dLbls>
            <c:spPr>
              <a:noFill/>
              <a:ln w="3175">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'精神障害者保健福祉手帳所持者数 '!$O$5:$S$5</c:f>
              <c:strCache>
                <c:ptCount val="5"/>
                <c:pt idx="0">
                  <c:v>令和４年</c:v>
                </c:pt>
                <c:pt idx="1">
                  <c:v>令和５年</c:v>
                </c:pt>
                <c:pt idx="2">
                  <c:v>令和６年</c:v>
                </c:pt>
                <c:pt idx="3">
                  <c:v>令和７年</c:v>
                </c:pt>
                <c:pt idx="4">
                  <c:v>令和８年</c:v>
                </c:pt>
              </c:strCache>
            </c:strRef>
          </c:cat>
          <c:val>
            <c:numRef>
              <c:f>'精神障害者保健福祉手帳所持者数 '!$O$10:$S$10</c:f>
              <c:numCache>
                <c:formatCode>#,##0_);[Red]\(#,##0\)</c:formatCode>
                <c:ptCount val="5"/>
                <c:pt idx="0">
                  <c:v>18</c:v>
                </c:pt>
                <c:pt idx="1">
                  <c:v>16</c:v>
                </c:pt>
                <c:pt idx="2">
                  <c:v>19</c:v>
                </c:pt>
                <c:pt idx="3">
                  <c:v>18</c:v>
                </c:pt>
                <c:pt idx="4">
                  <c:v>19</c:v>
                </c:pt>
              </c:numCache>
            </c:numRef>
          </c:val>
          <c:extLst>
            <c:ext xmlns:c16="http://schemas.microsoft.com/office/drawing/2014/chart" uri="{C3380CC4-5D6E-409C-BE32-E72D297353CC}">
              <c16:uniqueId val="{00000002-72D4-4C8D-A9F8-F9B2BDE8975C}"/>
            </c:ext>
          </c:extLst>
        </c:ser>
        <c:ser>
          <c:idx val="6"/>
          <c:order val="6"/>
          <c:tx>
            <c:strRef>
              <c:f>'精神障害者保健福祉手帳所持者数 '!$K$12</c:f>
              <c:strCache>
                <c:ptCount val="1"/>
                <c:pt idx="0">
                  <c:v>計</c:v>
                </c:pt>
              </c:strCache>
            </c:strRef>
          </c:tx>
          <c:spPr>
            <a:noFill/>
            <a:ln>
              <a:no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'精神障害者保健福祉手帳所持者数 '!$O$5:$S$5</c:f>
              <c:strCache>
                <c:ptCount val="5"/>
                <c:pt idx="0">
                  <c:v>令和４年</c:v>
                </c:pt>
                <c:pt idx="1">
                  <c:v>令和５年</c:v>
                </c:pt>
                <c:pt idx="2">
                  <c:v>令和６年</c:v>
                </c:pt>
                <c:pt idx="3">
                  <c:v>令和７年</c:v>
                </c:pt>
                <c:pt idx="4">
                  <c:v>令和８年</c:v>
                </c:pt>
              </c:strCache>
            </c:strRef>
          </c:cat>
          <c:val>
            <c:numRef>
              <c:f>'精神障害者保健福祉手帳所持者数 '!$O$12:$S$12</c:f>
              <c:numCache>
                <c:formatCode>#,##0_);[Red]\(#,##0\)</c:formatCode>
                <c:ptCount val="5"/>
                <c:pt idx="0">
                  <c:v>77</c:v>
                </c:pt>
                <c:pt idx="1">
                  <c:v>82</c:v>
                </c:pt>
                <c:pt idx="2">
                  <c:v>89</c:v>
                </c:pt>
                <c:pt idx="3">
                  <c:v>92</c:v>
                </c:pt>
                <c:pt idx="4">
                  <c:v>100</c:v>
                </c:pt>
              </c:numCache>
            </c:numRef>
          </c:val>
          <c:extLst>
            <c:ext xmlns:c16="http://schemas.microsoft.com/office/drawing/2014/chart" uri="{C3380CC4-5D6E-409C-BE32-E72D297353CC}">
              <c16:uniqueId val="{00000003-72D4-4C8D-A9F8-F9B2BDE8975C}"/>
            </c:ext>
          </c:extLst>
        </c:ser>
        <c:dLbls>
          <c:showLegendKey val="0"/>
          <c:showVal val="1"/>
          <c:showCatName val="0"/>
          <c:showSerName val="0"/>
          <c:showPercent val="0"/>
          <c:showBubbleSize val="0"/>
        </c:dLbls>
        <c:gapWidth val="150"/>
        <c:overlap val="100"/>
        <c:axId val="1"/>
        <c:axId val="2"/>
        <c:extLst>
          <c:ext xmlns:c15="http://schemas.microsoft.com/office/drawing/2012/chart" uri="{02D57815-91ED-43cb-92C2-25804820EDAC}">
            <c15:filteredBarSeries>
              <c15:ser>
                <c:idx val="1"/>
                <c:order val="1"/>
                <c:spPr>
                  <a:solidFill>
                    <a:schemeClr val="accent2"/>
                  </a:solidFill>
                  <a:ln>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'精神障害者保健福祉手帳所持者数 '!$O$5:$S$5</c15:sqref>
                        </c15:formulaRef>
                      </c:ext>
                    </c:extLst>
                    <c:strCache>
                      <c:ptCount val="5"/>
                      <c:pt idx="0">
                        <c:v>令和４年</c:v>
                      </c:pt>
                      <c:pt idx="1">
                        <c:v>令和５年</c:v>
                      </c:pt>
                      <c:pt idx="2">
                        <c:v>令和６年</c:v>
                      </c:pt>
                      <c:pt idx="3">
                        <c:v>令和７年</c:v>
                      </c:pt>
                      <c:pt idx="4">
                        <c:v>令和８年</c:v>
                      </c:pt>
                    </c:strCache>
                  </c:strRef>
                </c:cat>
                <c:val>
                  <c:numRef>
                    <c:extLst>
                      <c:ext uri="{02D57815-91ED-43cb-92C2-25804820EDAC}">
                        <c15:formulaRef>
                          <c15:sqref>'精神障害者保健福祉手帳所持者数 '!$O$7:$S$7</c15:sqref>
                        </c15:formulaRef>
                      </c:ext>
                    </c:extLst>
                    <c:numCache>
                      <c:formatCode>0.0%</c:formatCode>
                      <c:ptCount val="5"/>
                      <c:pt idx="0">
                        <c:v>7.792207792207792E-2</c:v>
                      </c:pt>
                      <c:pt idx="1">
                        <c:v>7.3170731707317069E-2</c:v>
                      </c:pt>
                      <c:pt idx="2">
                        <c:v>6.741573033707865E-2</c:v>
                      </c:pt>
                      <c:pt idx="3">
                        <c:v>4.3478260869565216E-2</c:v>
                      </c:pt>
                      <c:pt idx="4">
                        <c:v>0.04</c:v>
                      </c:pt>
                    </c:numCache>
                  </c:numRef>
                </c:val>
                <c:extLst>
                  <c:ext xmlns:c16="http://schemas.microsoft.com/office/drawing/2014/chart" uri="{C3380CC4-5D6E-409C-BE32-E72D297353CC}">
                    <c16:uniqueId val="{00000004-72D4-4C8D-A9F8-F9B2BDE8975C}"/>
                  </c:ext>
                </c:extLst>
              </c15:ser>
            </c15:filteredBarSeries>
            <c15:filteredBarSeries>
              <c15:ser>
                <c:idx val="3"/>
                <c:order val="3"/>
                <c:spPr>
                  <a:solidFill>
                    <a:schemeClr val="accent4"/>
                  </a:solidFill>
                  <a:ln>
                    <a:noFill/>
                  </a:ln>
                  <a:effectLst/>
                </c:spPr>
                <c:invertIfNegative val="0"/>
                <c:dLbls>
                  <c:spPr>
                    <a:noFill/>
                    <a:ln>
                      <a:noFill/>
                    </a:ln>
                    <a:effectLst/>
                  </c:spPr>
                  <c:txPr>
                    <a:bodyPr rot="0" spcFirstLastPara="1" vertOverflow="ellipsis" horzOverflow="overflow" vert="horz" wrap="square" lIns="38100" tIns="19050" rIns="38100" bIns="19050"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'精神障害者保健福祉手帳所持者数 '!$O$5:$S$5</c15:sqref>
                        </c15:formulaRef>
                      </c:ext>
                    </c:extLst>
                    <c:strCache>
                      <c:ptCount val="5"/>
                      <c:pt idx="0">
                        <c:v>令和４年</c:v>
                      </c:pt>
                      <c:pt idx="1">
                        <c:v>令和５年</c:v>
                      </c:pt>
                      <c:pt idx="2">
                        <c:v>令和６年</c:v>
                      </c:pt>
                      <c:pt idx="3">
                        <c:v>令和７年</c:v>
                      </c:pt>
                      <c:pt idx="4">
                        <c:v>令和８年</c:v>
                      </c:pt>
                    </c:strCache>
                  </c:strRef>
                </c:cat>
                <c:val>
                  <c:numRef>
                    <c:extLst xmlns:c15="http://schemas.microsoft.com/office/drawing/2012/chart">
                      <c:ext xmlns:c15="http://schemas.microsoft.com/office/drawing/2012/chart" uri="{02D57815-91ED-43cb-92C2-25804820EDAC}">
                        <c15:formulaRef>
                          <c15:sqref>'精神障害者保健福祉手帳所持者数 '!$O$9:$S$9</c15:sqref>
                        </c15:formulaRef>
                      </c:ext>
                    </c:extLst>
                    <c:numCache>
                      <c:formatCode>0.0%</c:formatCode>
                      <c:ptCount val="5"/>
                      <c:pt idx="0">
                        <c:v>0.68831168831168832</c:v>
                      </c:pt>
                      <c:pt idx="1">
                        <c:v>0.73170731707317072</c:v>
                      </c:pt>
                      <c:pt idx="2">
                        <c:v>0.7191011235955056</c:v>
                      </c:pt>
                      <c:pt idx="3">
                        <c:v>0.76086956521739135</c:v>
                      </c:pt>
                      <c:pt idx="4">
                        <c:v>0.77</c:v>
                      </c:pt>
                    </c:numCache>
                  </c:numRef>
                </c:val>
                <c:extLst>
                  <c:ext xmlns:c16="http://schemas.microsoft.com/office/drawing/2014/chart" uri="{C3380CC4-5D6E-409C-BE32-E72D297353CC}">
                    <c16:uniqueId val="{00000005-72D4-4C8D-A9F8-F9B2BDE8975C}"/>
                  </c:ext>
                </c:extLst>
              </c15:ser>
            </c15:filteredBarSeries>
            <c15:filteredBarSeries>
              <c15:ser>
                <c:idx val="5"/>
                <c:order val="5"/>
                <c:spPr>
                  <a:solidFill>
                    <a:schemeClr val="accent6"/>
                  </a:solidFill>
                  <a:ln>
                    <a:noFill/>
                  </a:ln>
                  <a:effectLst/>
                </c:spPr>
                <c:invertIfNegative val="0"/>
                <c:dLbls>
                  <c:spPr>
                    <a:noFill/>
                    <a:ln>
                      <a:noFill/>
                    </a:ln>
                    <a:effectLst/>
                  </c:spPr>
                  <c:txPr>
                    <a:bodyPr rot="0" spcFirstLastPara="1" vertOverflow="ellipsis" horzOverflow="overflow" vert="horz" wrap="square" lIns="38100" tIns="19050" rIns="38100" bIns="19050"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'精神障害者保健福祉手帳所持者数 '!$O$5:$S$5</c15:sqref>
                        </c15:formulaRef>
                      </c:ext>
                    </c:extLst>
                    <c:strCache>
                      <c:ptCount val="5"/>
                      <c:pt idx="0">
                        <c:v>令和４年</c:v>
                      </c:pt>
                      <c:pt idx="1">
                        <c:v>令和５年</c:v>
                      </c:pt>
                      <c:pt idx="2">
                        <c:v>令和６年</c:v>
                      </c:pt>
                      <c:pt idx="3">
                        <c:v>令和７年</c:v>
                      </c:pt>
                      <c:pt idx="4">
                        <c:v>令和８年</c:v>
                      </c:pt>
                    </c:strCache>
                  </c:strRef>
                </c:cat>
                <c:val>
                  <c:numRef>
                    <c:extLst xmlns:c15="http://schemas.microsoft.com/office/drawing/2012/chart">
                      <c:ext xmlns:c15="http://schemas.microsoft.com/office/drawing/2012/chart" uri="{02D57815-91ED-43cb-92C2-25804820EDAC}">
                        <c15:formulaRef>
                          <c15:sqref>'精神障害者保健福祉手帳所持者数 '!$O$11:$S$11</c15:sqref>
                        </c15:formulaRef>
                      </c:ext>
                    </c:extLst>
                    <c:numCache>
                      <c:formatCode>0.0%</c:formatCode>
                      <c:ptCount val="5"/>
                      <c:pt idx="0">
                        <c:v>0.23376623376623376</c:v>
                      </c:pt>
                      <c:pt idx="1">
                        <c:v>0.1951219512195122</c:v>
                      </c:pt>
                      <c:pt idx="2">
                        <c:v>0.21348314606741572</c:v>
                      </c:pt>
                      <c:pt idx="3">
                        <c:v>0.19565217391304349</c:v>
                      </c:pt>
                      <c:pt idx="4">
                        <c:v>0.19</c:v>
                      </c:pt>
                    </c:numCache>
                  </c:numRef>
                </c:val>
                <c:extLst>
                  <c:ext xmlns:c16="http://schemas.microsoft.com/office/drawing/2014/chart" uri="{C3380CC4-5D6E-409C-BE32-E72D297353CC}">
                    <c16:uniqueId val="{00000006-72D4-4C8D-A9F8-F9B2BDE8975C}"/>
                  </c:ext>
                </c:extLst>
              </c15:ser>
            </c15:filteredBarSeries>
          </c:ext>
        </c:extLst>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vert="horz"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crossAx val="2"/>
        <c:crosses val="autoZero"/>
        <c:auto val="1"/>
        <c:lblAlgn val="ctr"/>
        <c:lblOffset val="100"/>
        <c:noMultiLvlLbl val="0"/>
      </c:catAx>
      <c:valAx>
        <c:axId val="2"/>
        <c:scaling>
          <c:orientation val="minMax"/>
          <c:max val="11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horzOverflow="overflow"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r>
                  <a:rPr lang="ja-JP" altLang="en-US" sz="700" b="0" i="0" u="none" strike="noStrike" kern="1200" baseline="0">
                    <a:solidFill>
                      <a:schemeClr val="tx1">
                        <a:lumMod val="65000"/>
                        <a:lumOff val="35000"/>
                      </a:schemeClr>
                    </a:solidFill>
                    <a:latin typeface="BIZ UDPゴシック"/>
                    <a:ea typeface="BIZ UDPゴシック"/>
                    <a:cs typeface="+mn-cs"/>
                  </a:rPr>
                  <a:t>（人）</a:t>
                </a:r>
                <a:endParaRPr lang="en-US" altLang="en-US" sz="700" b="0" i="0" u="none" strike="noStrike" kern="1200" baseline="0">
                  <a:solidFill>
                    <a:schemeClr val="tx1">
                      <a:lumMod val="65000"/>
                      <a:lumOff val="35000"/>
                    </a:schemeClr>
                  </a:solidFill>
                  <a:latin typeface="BIZ UDPゴシック"/>
                  <a:ea typeface="BIZ UDPゴシック"/>
                  <a:cs typeface="+mn-cs"/>
                </a:endParaRPr>
              </a:p>
            </c:rich>
          </c:tx>
          <c:layout>
            <c:manualLayout>
              <c:xMode val="edge"/>
              <c:yMode val="edge"/>
              <c:x val="2.3185031494631091E-2"/>
              <c:y val="3.5079382849655644E-2"/>
            </c:manualLayout>
          </c:layout>
          <c:overlay val="0"/>
          <c:spPr>
            <a:noFill/>
            <a:ln>
              <a:noFill/>
            </a:ln>
            <a:effectLst/>
          </c:spPr>
          <c:txPr>
            <a:bodyPr rot="0" spcFirstLastPara="1" vertOverflow="ellipsis" horzOverflow="overflow"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title>
        <c:numFmt formatCode="#,##0_);[Red]\(#,##0\)" sourceLinked="1"/>
        <c:majorTickMark val="none"/>
        <c:minorTickMark val="none"/>
        <c:tickLblPos val="nextTo"/>
        <c:spPr>
          <a:noFill/>
          <a:ln>
            <a:noFill/>
          </a:ln>
          <a:effectLst/>
        </c:spPr>
        <c:txPr>
          <a:bodyPr rot="-60000000" spcFirstLastPara="1" vertOverflow="ellipsis" horzOverflow="overflow" vert="horz"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crossAx val="1"/>
        <c:crosses val="autoZero"/>
        <c:crossBetween val="between"/>
        <c:majorUnit val="10"/>
      </c:valAx>
      <c:spPr>
        <a:noFill/>
        <a:ln>
          <a:noFill/>
        </a:ln>
        <a:effectLst/>
      </c:spPr>
    </c:plotArea>
    <c:legend>
      <c:legendPos val="b"/>
      <c:legendEntry>
        <c:idx val="3"/>
        <c:delete val="1"/>
      </c:legendEntry>
      <c:layout>
        <c:manualLayout>
          <c:xMode val="edge"/>
          <c:yMode val="edge"/>
          <c:x val="0.23436444421534056"/>
          <c:y val="0.91942423073893009"/>
          <c:w val="0.54391507117256821"/>
          <c:h val="4.8229015041242114E-2"/>
        </c:manualLayout>
      </c:layout>
      <c:overlay val="0"/>
      <c:spPr>
        <a:noFill/>
        <a:ln>
          <a:noFill/>
        </a:ln>
        <a:effectLst/>
      </c:spPr>
      <c:txPr>
        <a:bodyPr rot="0" spcFirstLastPara="1" vertOverflow="ellipsis" horzOverflow="overflow" vert="horz" wrap="square" anchor="ctr" anchorCtr="1"/>
        <a:lstStyle/>
        <a:p>
          <a:pPr algn="l"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legend>
    <c:plotVisOnly val="1"/>
    <c:dispBlanksAs val="gap"/>
    <c:showDLblsOverMax val="0"/>
  </c:chart>
  <c:spPr>
    <a:solidFill>
      <a:schemeClr val="bg1"/>
    </a:solidFill>
    <a:ln w="9525" cap="flat" cmpd="sng" algn="ctr">
      <a:solidFill>
        <a:schemeClr val="tx1"/>
      </a:solidFill>
      <a:round/>
    </a:ln>
    <a:effectLst/>
  </c:spPr>
  <c:txPr>
    <a:bodyPr vertOverflow="overflow" horzOverflow="overflow" anchor="ctr" anchorCtr="1"/>
    <a:lstStyle/>
    <a:p>
      <a:pPr algn="ctr" rtl="0">
        <a:defRPr lang="ja-JP" altLang="en-US" sz="700" b="0">
          <a:latin typeface="BIZ UDPゴシック"/>
          <a:ea typeface="BIZ UDPゴシック"/>
        </a:defRPr>
      </a:pPr>
      <a:endParaRPr lang="ja-JP"/>
    </a:p>
  </c:txPr>
  <c:externalData r:id="rId3">
    <c:autoUpdate val="0"/>
  </c:externalData>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vert="horz" wrap="square" anchor="ctr" anchorCtr="1"/>
          <a:lstStyle/>
          <a:p>
            <a:pPr algn="ctr" rtl="0">
              <a:defRPr lang="ja-JP" altLang="en-US" sz="840" b="0" i="0" u="none" strike="noStrike" kern="1200" spc="0" baseline="0">
                <a:solidFill>
                  <a:schemeClr val="tx1">
                    <a:lumMod val="65000"/>
                    <a:lumOff val="35000"/>
                  </a:schemeClr>
                </a:solidFill>
                <a:latin typeface="BIZ UDPゴシック"/>
                <a:ea typeface="BIZ UDPゴシック"/>
                <a:cs typeface="+mn-cs"/>
              </a:defRPr>
            </a:pPr>
            <a:r>
              <a:rPr lang="ja-JP" altLang="en-US" sz="840" b="0" i="0" u="none" strike="noStrike" kern="1200" spc="0" baseline="0">
                <a:solidFill>
                  <a:schemeClr val="tx1">
                    <a:lumMod val="65000"/>
                    <a:lumOff val="35000"/>
                  </a:schemeClr>
                </a:solidFill>
                <a:latin typeface="BIZ UDPゴシック"/>
                <a:ea typeface="BIZ UDPゴシック"/>
                <a:cs typeface="+mn-cs"/>
              </a:rPr>
              <a:t>療育手帳所持者数</a:t>
            </a:r>
          </a:p>
        </c:rich>
      </c:tx>
      <c:layout/>
      <c:overlay val="0"/>
      <c:spPr>
        <a:noFill/>
        <a:ln>
          <a:noFill/>
        </a:ln>
        <a:effectLst/>
      </c:spPr>
      <c:txPr>
        <a:bodyPr rot="0" spcFirstLastPara="1" vertOverflow="ellipsis" horzOverflow="overflow" vert="horz" wrap="square" anchor="ctr" anchorCtr="1"/>
        <a:lstStyle/>
        <a:p>
          <a:pPr algn="ctr" rtl="0">
            <a:defRPr lang="ja-JP" altLang="en-US" sz="840" b="0" i="0" u="none" strike="noStrike" kern="1200" spc="0" baseline="0">
              <a:solidFill>
                <a:schemeClr val="tx1">
                  <a:lumMod val="65000"/>
                  <a:lumOff val="35000"/>
                </a:schemeClr>
              </a:solidFill>
              <a:latin typeface="BIZ UDPゴシック"/>
              <a:ea typeface="BIZ UDPゴシック"/>
              <a:cs typeface="+mn-cs"/>
            </a:defRPr>
          </a:pPr>
          <a:endParaRPr lang="ja-JP"/>
        </a:p>
      </c:txPr>
    </c:title>
    <c:autoTitleDeleted val="0"/>
    <c:plotArea>
      <c:layout>
        <c:manualLayout>
          <c:layoutTarget val="inner"/>
          <c:xMode val="edge"/>
          <c:yMode val="edge"/>
          <c:x val="8.5320961485595384E-2"/>
          <c:y val="0.12350468800517297"/>
          <c:w val="0.82945468137831735"/>
          <c:h val="0.70256036044984915"/>
        </c:manualLayout>
      </c:layout>
      <c:barChart>
        <c:barDir val="col"/>
        <c:grouping val="stacked"/>
        <c:varyColors val="0"/>
        <c:ser>
          <c:idx val="0"/>
          <c:order val="0"/>
          <c:tx>
            <c:strRef>
              <c:f>療育手帳所持者数!$K$6</c:f>
              <c:strCache>
                <c:ptCount val="1"/>
                <c:pt idx="0">
                  <c:v>18歳未満</c:v>
                </c:pt>
              </c:strCache>
            </c:strRef>
          </c:tx>
          <c:spPr>
            <a:solidFill>
              <a:srgbClr val="F3AC89"/>
            </a:solidFill>
            <a:ln>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療育手帳所持者数!$O$5:$S$5</c:f>
              <c:strCache>
                <c:ptCount val="5"/>
                <c:pt idx="0">
                  <c:v>令和４年</c:v>
                </c:pt>
                <c:pt idx="1">
                  <c:v>令和５年</c:v>
                </c:pt>
                <c:pt idx="2">
                  <c:v>令和６年</c:v>
                </c:pt>
                <c:pt idx="3">
                  <c:v>令和７年</c:v>
                </c:pt>
                <c:pt idx="4">
                  <c:v>令和８年</c:v>
                </c:pt>
              </c:strCache>
            </c:strRef>
          </c:cat>
          <c:val>
            <c:numRef>
              <c:f>療育手帳所持者数!$O$6:$S$6</c:f>
              <c:numCache>
                <c:formatCode>#,##0_);[Red]\(#,##0\)</c:formatCode>
                <c:ptCount val="5"/>
                <c:pt idx="0">
                  <c:v>27</c:v>
                </c:pt>
                <c:pt idx="1">
                  <c:v>25</c:v>
                </c:pt>
                <c:pt idx="2">
                  <c:v>30</c:v>
                </c:pt>
                <c:pt idx="3">
                  <c:v>33</c:v>
                </c:pt>
                <c:pt idx="4">
                  <c:v>37</c:v>
                </c:pt>
              </c:numCache>
            </c:numRef>
          </c:val>
          <c:extLst>
            <c:ext xmlns:c16="http://schemas.microsoft.com/office/drawing/2014/chart" uri="{C3380CC4-5D6E-409C-BE32-E72D297353CC}">
              <c16:uniqueId val="{00000000-978C-47B7-BF14-5B59B0F86AB4}"/>
            </c:ext>
          </c:extLst>
        </c:ser>
        <c:ser>
          <c:idx val="2"/>
          <c:order val="2"/>
          <c:tx>
            <c:strRef>
              <c:f>療育手帳所持者数!$K$8</c:f>
              <c:strCache>
                <c:ptCount val="1"/>
                <c:pt idx="0">
                  <c:v>18～64歳</c:v>
                </c:pt>
              </c:strCache>
            </c:strRef>
          </c:tx>
          <c:spPr>
            <a:pattFill prst="pct10">
              <a:fgClr>
                <a:srgbClr val="F3AC89"/>
              </a:fgClr>
              <a:bgClr>
                <a:schemeClr val="bg1"/>
              </a:bgClr>
            </a:pattFill>
            <a:ln w="9525">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療育手帳所持者数!$O$5:$S$5</c:f>
              <c:strCache>
                <c:ptCount val="5"/>
                <c:pt idx="0">
                  <c:v>令和４年</c:v>
                </c:pt>
                <c:pt idx="1">
                  <c:v>令和５年</c:v>
                </c:pt>
                <c:pt idx="2">
                  <c:v>令和６年</c:v>
                </c:pt>
                <c:pt idx="3">
                  <c:v>令和７年</c:v>
                </c:pt>
                <c:pt idx="4">
                  <c:v>令和８年</c:v>
                </c:pt>
              </c:strCache>
            </c:strRef>
          </c:cat>
          <c:val>
            <c:numRef>
              <c:f>療育手帳所持者数!$O$8:$S$8</c:f>
              <c:numCache>
                <c:formatCode>#,##0_);[Red]\(#,##0\)</c:formatCode>
                <c:ptCount val="5"/>
                <c:pt idx="0">
                  <c:v>77</c:v>
                </c:pt>
                <c:pt idx="1">
                  <c:v>83</c:v>
                </c:pt>
                <c:pt idx="2">
                  <c:v>89</c:v>
                </c:pt>
                <c:pt idx="3">
                  <c:v>90</c:v>
                </c:pt>
                <c:pt idx="4">
                  <c:v>92</c:v>
                </c:pt>
              </c:numCache>
            </c:numRef>
          </c:val>
          <c:extLst>
            <c:ext xmlns:c16="http://schemas.microsoft.com/office/drawing/2014/chart" uri="{C3380CC4-5D6E-409C-BE32-E72D297353CC}">
              <c16:uniqueId val="{00000001-978C-47B7-BF14-5B59B0F86AB4}"/>
            </c:ext>
          </c:extLst>
        </c:ser>
        <c:ser>
          <c:idx val="4"/>
          <c:order val="4"/>
          <c:tx>
            <c:strRef>
              <c:f>療育手帳所持者数!$K$10</c:f>
              <c:strCache>
                <c:ptCount val="1"/>
                <c:pt idx="0">
                  <c:v>65歳以上</c:v>
                </c:pt>
              </c:strCache>
            </c:strRef>
          </c:tx>
          <c:spPr>
            <a:solidFill>
              <a:srgbClr val="E75E19"/>
            </a:solidFill>
            <a:ln w="9525">
              <a:solidFill>
                <a:schemeClr val="tx1"/>
              </a:solidFill>
            </a:ln>
            <a:effectLst/>
          </c:spPr>
          <c:invertIfNegative val="0"/>
          <c:dLbls>
            <c:spPr>
              <a:noFill/>
              <a:ln w="3175">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療育手帳所持者数!$O$5:$S$5</c:f>
              <c:strCache>
                <c:ptCount val="5"/>
                <c:pt idx="0">
                  <c:v>令和４年</c:v>
                </c:pt>
                <c:pt idx="1">
                  <c:v>令和５年</c:v>
                </c:pt>
                <c:pt idx="2">
                  <c:v>令和６年</c:v>
                </c:pt>
                <c:pt idx="3">
                  <c:v>令和７年</c:v>
                </c:pt>
                <c:pt idx="4">
                  <c:v>令和８年</c:v>
                </c:pt>
              </c:strCache>
            </c:strRef>
          </c:cat>
          <c:val>
            <c:numRef>
              <c:f>療育手帳所持者数!$O$10:$S$10</c:f>
              <c:numCache>
                <c:formatCode>#,##0_);[Red]\(#,##0\)</c:formatCode>
                <c:ptCount val="5"/>
                <c:pt idx="0">
                  <c:v>7</c:v>
                </c:pt>
                <c:pt idx="1">
                  <c:v>7</c:v>
                </c:pt>
                <c:pt idx="2">
                  <c:v>7</c:v>
                </c:pt>
                <c:pt idx="3">
                  <c:v>7</c:v>
                </c:pt>
                <c:pt idx="4">
                  <c:v>7</c:v>
                </c:pt>
              </c:numCache>
            </c:numRef>
          </c:val>
          <c:extLst>
            <c:ext xmlns:c16="http://schemas.microsoft.com/office/drawing/2014/chart" uri="{C3380CC4-5D6E-409C-BE32-E72D297353CC}">
              <c16:uniqueId val="{00000002-978C-47B7-BF14-5B59B0F86AB4}"/>
            </c:ext>
          </c:extLst>
        </c:ser>
        <c:ser>
          <c:idx val="6"/>
          <c:order val="6"/>
          <c:tx>
            <c:strRef>
              <c:f>療育手帳所持者数!$K$12</c:f>
              <c:strCache>
                <c:ptCount val="1"/>
                <c:pt idx="0">
                  <c:v>計</c:v>
                </c:pt>
              </c:strCache>
            </c:strRef>
          </c:tx>
          <c:spPr>
            <a:noFill/>
            <a:ln>
              <a:no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療育手帳所持者数!$O$5:$S$5</c:f>
              <c:strCache>
                <c:ptCount val="5"/>
                <c:pt idx="0">
                  <c:v>令和４年</c:v>
                </c:pt>
                <c:pt idx="1">
                  <c:v>令和５年</c:v>
                </c:pt>
                <c:pt idx="2">
                  <c:v>令和６年</c:v>
                </c:pt>
                <c:pt idx="3">
                  <c:v>令和７年</c:v>
                </c:pt>
                <c:pt idx="4">
                  <c:v>令和８年</c:v>
                </c:pt>
              </c:strCache>
            </c:strRef>
          </c:cat>
          <c:val>
            <c:numRef>
              <c:f>療育手帳所持者数!$O$12:$S$12</c:f>
              <c:numCache>
                <c:formatCode>#,##0_);[Red]\(#,##0\)</c:formatCode>
                <c:ptCount val="5"/>
                <c:pt idx="0">
                  <c:v>111</c:v>
                </c:pt>
                <c:pt idx="1">
                  <c:v>115</c:v>
                </c:pt>
                <c:pt idx="2">
                  <c:v>126</c:v>
                </c:pt>
                <c:pt idx="3">
                  <c:v>130</c:v>
                </c:pt>
                <c:pt idx="4">
                  <c:v>136</c:v>
                </c:pt>
              </c:numCache>
            </c:numRef>
          </c:val>
          <c:extLst>
            <c:ext xmlns:c16="http://schemas.microsoft.com/office/drawing/2014/chart" uri="{C3380CC4-5D6E-409C-BE32-E72D297353CC}">
              <c16:uniqueId val="{00000003-978C-47B7-BF14-5B59B0F86AB4}"/>
            </c:ext>
          </c:extLst>
        </c:ser>
        <c:dLbls>
          <c:showLegendKey val="0"/>
          <c:showVal val="1"/>
          <c:showCatName val="0"/>
          <c:showSerName val="0"/>
          <c:showPercent val="0"/>
          <c:showBubbleSize val="0"/>
        </c:dLbls>
        <c:gapWidth val="150"/>
        <c:overlap val="100"/>
        <c:axId val="1"/>
        <c:axId val="2"/>
        <c:extLst>
          <c:ext xmlns:c15="http://schemas.microsoft.com/office/drawing/2012/chart" uri="{02D57815-91ED-43cb-92C2-25804820EDAC}">
            <c15:filteredBarSeries>
              <c15:ser>
                <c:idx val="1"/>
                <c:order val="1"/>
                <c:spPr>
                  <a:solidFill>
                    <a:schemeClr val="accent2"/>
                  </a:solidFill>
                  <a:ln>
                    <a:solidFill>
                      <a:schemeClr val="tx1"/>
                    </a:solidFill>
                  </a:ln>
                  <a:effectLst/>
                </c:spPr>
                <c:invertIfNegative val="0"/>
                <c:dLbls>
                  <c:spPr>
                    <a:noFill/>
                    <a:ln>
                      <a:noFill/>
                    </a:ln>
                    <a:effectLst/>
                  </c:spPr>
                  <c:txPr>
                    <a:bodyPr rot="0" spcFirstLastPara="1" vertOverflow="ellipsis" horzOverflow="overflow" vert="horz" wrap="square"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療育手帳所持者数!$O$5:$S$5</c15:sqref>
                        </c15:formulaRef>
                      </c:ext>
                    </c:extLst>
                    <c:strCache>
                      <c:ptCount val="5"/>
                      <c:pt idx="0">
                        <c:v>令和４年</c:v>
                      </c:pt>
                      <c:pt idx="1">
                        <c:v>令和５年</c:v>
                      </c:pt>
                      <c:pt idx="2">
                        <c:v>令和６年</c:v>
                      </c:pt>
                      <c:pt idx="3">
                        <c:v>令和７年</c:v>
                      </c:pt>
                      <c:pt idx="4">
                        <c:v>令和８年</c:v>
                      </c:pt>
                    </c:strCache>
                  </c:strRef>
                </c:cat>
                <c:val>
                  <c:numRef>
                    <c:extLst>
                      <c:ext uri="{02D57815-91ED-43cb-92C2-25804820EDAC}">
                        <c15:formulaRef>
                          <c15:sqref>療育手帳所持者数!$O$7:$S$7</c15:sqref>
                        </c15:formulaRef>
                      </c:ext>
                    </c:extLst>
                    <c:numCache>
                      <c:formatCode>0.0%</c:formatCode>
                      <c:ptCount val="5"/>
                      <c:pt idx="0">
                        <c:v>0.24324324324324326</c:v>
                      </c:pt>
                      <c:pt idx="1">
                        <c:v>0.21739130434782608</c:v>
                      </c:pt>
                      <c:pt idx="2">
                        <c:v>0.23809523809523808</c:v>
                      </c:pt>
                      <c:pt idx="3">
                        <c:v>0.25384615384615383</c:v>
                      </c:pt>
                      <c:pt idx="4">
                        <c:v>0.27205882352941174</c:v>
                      </c:pt>
                    </c:numCache>
                  </c:numRef>
                </c:val>
                <c:extLst>
                  <c:ext xmlns:c16="http://schemas.microsoft.com/office/drawing/2014/chart" uri="{C3380CC4-5D6E-409C-BE32-E72D297353CC}">
                    <c16:uniqueId val="{00000004-978C-47B7-BF14-5B59B0F86AB4}"/>
                  </c:ext>
                </c:extLst>
              </c15:ser>
            </c15:filteredBarSeries>
            <c15:filteredBarSeries>
              <c15:ser>
                <c:idx val="3"/>
                <c:order val="3"/>
                <c:spPr>
                  <a:solidFill>
                    <a:schemeClr val="accent4"/>
                  </a:solidFill>
                  <a:ln>
                    <a:noFill/>
                  </a:ln>
                  <a:effectLst/>
                </c:spPr>
                <c:invertIfNegative val="0"/>
                <c:dLbls>
                  <c:spPr>
                    <a:noFill/>
                    <a:ln>
                      <a:noFill/>
                    </a:ln>
                    <a:effectLst/>
                  </c:spPr>
                  <c:txPr>
                    <a:bodyPr rot="0" spcFirstLastPara="1" vertOverflow="ellipsis" horzOverflow="overflow" vert="horz" wrap="square" lIns="38100" tIns="19050" rIns="38100" bIns="19050"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療育手帳所持者数!$O$5:$S$5</c15:sqref>
                        </c15:formulaRef>
                      </c:ext>
                    </c:extLst>
                    <c:strCache>
                      <c:ptCount val="5"/>
                      <c:pt idx="0">
                        <c:v>令和４年</c:v>
                      </c:pt>
                      <c:pt idx="1">
                        <c:v>令和５年</c:v>
                      </c:pt>
                      <c:pt idx="2">
                        <c:v>令和６年</c:v>
                      </c:pt>
                      <c:pt idx="3">
                        <c:v>令和７年</c:v>
                      </c:pt>
                      <c:pt idx="4">
                        <c:v>令和８年</c:v>
                      </c:pt>
                    </c:strCache>
                  </c:strRef>
                </c:cat>
                <c:val>
                  <c:numRef>
                    <c:extLst xmlns:c15="http://schemas.microsoft.com/office/drawing/2012/chart">
                      <c:ext xmlns:c15="http://schemas.microsoft.com/office/drawing/2012/chart" uri="{02D57815-91ED-43cb-92C2-25804820EDAC}">
                        <c15:formulaRef>
                          <c15:sqref>療育手帳所持者数!$O$9:$S$9</c15:sqref>
                        </c15:formulaRef>
                      </c:ext>
                    </c:extLst>
                    <c:numCache>
                      <c:formatCode>0.0%</c:formatCode>
                      <c:ptCount val="5"/>
                      <c:pt idx="0">
                        <c:v>0.69369369369369371</c:v>
                      </c:pt>
                      <c:pt idx="1">
                        <c:v>0.72173913043478266</c:v>
                      </c:pt>
                      <c:pt idx="2">
                        <c:v>0.70634920634920639</c:v>
                      </c:pt>
                      <c:pt idx="3">
                        <c:v>0.69230769230769229</c:v>
                      </c:pt>
                      <c:pt idx="4">
                        <c:v>0.67647058823529416</c:v>
                      </c:pt>
                    </c:numCache>
                  </c:numRef>
                </c:val>
                <c:extLst>
                  <c:ext xmlns:c16="http://schemas.microsoft.com/office/drawing/2014/chart" uri="{C3380CC4-5D6E-409C-BE32-E72D297353CC}">
                    <c16:uniqueId val="{00000005-978C-47B7-BF14-5B59B0F86AB4}"/>
                  </c:ext>
                </c:extLst>
              </c15:ser>
            </c15:filteredBarSeries>
            <c15:filteredBarSeries>
              <c15:ser>
                <c:idx val="5"/>
                <c:order val="5"/>
                <c:spPr>
                  <a:solidFill>
                    <a:schemeClr val="accent6"/>
                  </a:solidFill>
                  <a:ln>
                    <a:noFill/>
                  </a:ln>
                  <a:effectLst/>
                </c:spPr>
                <c:invertIfNegative val="0"/>
                <c:dLbls>
                  <c:spPr>
                    <a:noFill/>
                    <a:ln>
                      <a:noFill/>
                    </a:ln>
                    <a:effectLst/>
                  </c:spPr>
                  <c:txPr>
                    <a:bodyPr rot="0" spcFirstLastPara="1" vertOverflow="ellipsis" horzOverflow="overflow" vert="horz" wrap="square" lIns="38100" tIns="19050" rIns="38100" bIns="19050" anchor="ctr" anchorCtr="1">
                      <a:spAutoFit/>
                    </a:bodyPr>
                    <a:lstStyle/>
                    <a:p>
                      <a:pPr algn="ctr" rtl="0">
                        <a:defRPr lang="ja-JP" altLang="en-US" sz="700" b="0" i="0" u="none" strike="noStrike" kern="1200" baseline="0">
                          <a:solidFill>
                            <a:schemeClr val="tx1">
                              <a:lumMod val="75000"/>
                              <a:lumOff val="25000"/>
                            </a:schemeClr>
                          </a:solidFill>
                          <a:latin typeface="BIZ UDPゴシック"/>
                          <a:ea typeface="BIZ UDPゴシック"/>
                          <a:cs typeface="+mn-cs"/>
                        </a:defRPr>
                      </a:pPr>
                      <a:endParaRPr lang="ja-JP"/>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療育手帳所持者数!$O$5:$S$5</c15:sqref>
                        </c15:formulaRef>
                      </c:ext>
                    </c:extLst>
                    <c:strCache>
                      <c:ptCount val="5"/>
                      <c:pt idx="0">
                        <c:v>令和４年</c:v>
                      </c:pt>
                      <c:pt idx="1">
                        <c:v>令和５年</c:v>
                      </c:pt>
                      <c:pt idx="2">
                        <c:v>令和６年</c:v>
                      </c:pt>
                      <c:pt idx="3">
                        <c:v>令和７年</c:v>
                      </c:pt>
                      <c:pt idx="4">
                        <c:v>令和８年</c:v>
                      </c:pt>
                    </c:strCache>
                  </c:strRef>
                </c:cat>
                <c:val>
                  <c:numRef>
                    <c:extLst xmlns:c15="http://schemas.microsoft.com/office/drawing/2012/chart">
                      <c:ext xmlns:c15="http://schemas.microsoft.com/office/drawing/2012/chart" uri="{02D57815-91ED-43cb-92C2-25804820EDAC}">
                        <c15:formulaRef>
                          <c15:sqref>療育手帳所持者数!$O$11:$S$11</c15:sqref>
                        </c15:formulaRef>
                      </c:ext>
                    </c:extLst>
                    <c:numCache>
                      <c:formatCode>0.0%</c:formatCode>
                      <c:ptCount val="5"/>
                      <c:pt idx="0">
                        <c:v>6.3063063063063057E-2</c:v>
                      </c:pt>
                      <c:pt idx="1">
                        <c:v>6.0869565217391307E-2</c:v>
                      </c:pt>
                      <c:pt idx="2">
                        <c:v>5.5555555555555552E-2</c:v>
                      </c:pt>
                      <c:pt idx="3">
                        <c:v>5.3846153846153849E-2</c:v>
                      </c:pt>
                      <c:pt idx="4">
                        <c:v>5.1470588235294115E-2</c:v>
                      </c:pt>
                    </c:numCache>
                  </c:numRef>
                </c:val>
                <c:extLst>
                  <c:ext xmlns:c16="http://schemas.microsoft.com/office/drawing/2014/chart" uri="{C3380CC4-5D6E-409C-BE32-E72D297353CC}">
                    <c16:uniqueId val="{00000006-978C-47B7-BF14-5B59B0F86AB4}"/>
                  </c:ext>
                </c:extLst>
              </c15:ser>
            </c15:filteredBarSeries>
          </c:ext>
        </c:extLst>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vert="horz"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crossAx val="2"/>
        <c:crosses val="autoZero"/>
        <c:auto val="1"/>
        <c:lblAlgn val="ctr"/>
        <c:lblOffset val="100"/>
        <c:noMultiLvlLbl val="0"/>
      </c:catAx>
      <c:valAx>
        <c:axId val="2"/>
        <c:scaling>
          <c:orientation val="minMax"/>
          <c:max val="14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horzOverflow="overflow"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r>
                  <a:rPr lang="ja-JP" altLang="en-US" sz="700" b="0" i="0" u="none" strike="noStrike" kern="1200" baseline="0">
                    <a:solidFill>
                      <a:schemeClr val="tx1">
                        <a:lumMod val="65000"/>
                        <a:lumOff val="35000"/>
                      </a:schemeClr>
                    </a:solidFill>
                    <a:latin typeface="BIZ UDPゴシック"/>
                    <a:ea typeface="BIZ UDPゴシック"/>
                    <a:cs typeface="+mn-cs"/>
                  </a:rPr>
                  <a:t>（人）</a:t>
                </a:r>
                <a:endParaRPr lang="en-US" altLang="en-US" sz="700" b="0" i="0" u="none" strike="noStrike" kern="1200" baseline="0">
                  <a:solidFill>
                    <a:schemeClr val="tx1">
                      <a:lumMod val="65000"/>
                      <a:lumOff val="35000"/>
                    </a:schemeClr>
                  </a:solidFill>
                  <a:latin typeface="BIZ UDPゴシック"/>
                  <a:ea typeface="BIZ UDPゴシック"/>
                  <a:cs typeface="+mn-cs"/>
                </a:endParaRPr>
              </a:p>
            </c:rich>
          </c:tx>
          <c:layout>
            <c:manualLayout>
              <c:xMode val="edge"/>
              <c:yMode val="edge"/>
              <c:x val="2.3185031494631091E-2"/>
              <c:y val="3.5079382849655644E-2"/>
            </c:manualLayout>
          </c:layout>
          <c:overlay val="0"/>
          <c:spPr>
            <a:noFill/>
            <a:ln>
              <a:noFill/>
            </a:ln>
            <a:effectLst/>
          </c:spPr>
          <c:txPr>
            <a:bodyPr rot="0" spcFirstLastPara="1" vertOverflow="ellipsis" horzOverflow="overflow"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title>
        <c:numFmt formatCode="#,##0_);[Red]\(#,##0\)" sourceLinked="1"/>
        <c:majorTickMark val="none"/>
        <c:minorTickMark val="none"/>
        <c:tickLblPos val="nextTo"/>
        <c:spPr>
          <a:noFill/>
          <a:ln>
            <a:noFill/>
          </a:ln>
          <a:effectLst/>
        </c:spPr>
        <c:txPr>
          <a:bodyPr rot="-60000000" spcFirstLastPara="1" vertOverflow="ellipsis" horzOverflow="overflow" vert="horz" wrap="square" anchor="ctr" anchorCtr="1"/>
          <a:lstStyle/>
          <a:p>
            <a:pPr algn="ctr"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crossAx val="1"/>
        <c:crosses val="autoZero"/>
        <c:crossBetween val="between"/>
      </c:valAx>
      <c:spPr>
        <a:noFill/>
        <a:ln>
          <a:noFill/>
        </a:ln>
        <a:effectLst/>
      </c:spPr>
    </c:plotArea>
    <c:legend>
      <c:legendPos val="b"/>
      <c:legendEntry>
        <c:idx val="3"/>
        <c:delete val="1"/>
      </c:legendEntry>
      <c:layout>
        <c:manualLayout>
          <c:xMode val="edge"/>
          <c:yMode val="edge"/>
          <c:x val="0.21742621779478874"/>
          <c:y val="0.90971999353161426"/>
          <c:w val="0.56085329759311997"/>
          <c:h val="5.4698366488759503E-2"/>
        </c:manualLayout>
      </c:layout>
      <c:overlay val="0"/>
      <c:spPr>
        <a:noFill/>
        <a:ln>
          <a:noFill/>
        </a:ln>
        <a:effectLst/>
      </c:spPr>
      <c:txPr>
        <a:bodyPr rot="0" spcFirstLastPara="1" vertOverflow="ellipsis" horzOverflow="overflow" vert="horz" wrap="square" anchor="ctr" anchorCtr="1"/>
        <a:lstStyle/>
        <a:p>
          <a:pPr algn="l" rtl="0">
            <a:defRPr lang="ja-JP" altLang="en-US" sz="700" b="0" i="0" u="none" strike="noStrike" kern="1200" baseline="0">
              <a:solidFill>
                <a:schemeClr val="tx1">
                  <a:lumMod val="65000"/>
                  <a:lumOff val="35000"/>
                </a:schemeClr>
              </a:solidFill>
              <a:latin typeface="BIZ UDPゴシック"/>
              <a:ea typeface="BIZ UDPゴシック"/>
              <a:cs typeface="+mn-cs"/>
            </a:defRPr>
          </a:pPr>
          <a:endParaRPr lang="ja-JP"/>
        </a:p>
      </c:txPr>
    </c:legend>
    <c:plotVisOnly val="1"/>
    <c:dispBlanksAs val="gap"/>
    <c:showDLblsOverMax val="0"/>
  </c:chart>
  <c:spPr>
    <a:solidFill>
      <a:schemeClr val="bg1"/>
    </a:solidFill>
    <a:ln w="9525" cap="flat" cmpd="sng" algn="ctr">
      <a:solidFill>
        <a:schemeClr val="tx1"/>
      </a:solidFill>
      <a:round/>
    </a:ln>
    <a:effectLst/>
  </c:spPr>
  <c:txPr>
    <a:bodyPr vertOverflow="overflow" horzOverflow="overflow" anchor="ctr" anchorCtr="1"/>
    <a:lstStyle/>
    <a:p>
      <a:pPr algn="ctr" rtl="0">
        <a:defRPr lang="ja-JP" altLang="en-US" sz="700" b="0">
          <a:latin typeface="BIZ UDPゴシック"/>
          <a:ea typeface="BIZ UDPゴシック"/>
        </a:defRPr>
      </a:pPr>
      <a:endParaRPr lang="ja-JP"/>
    </a:p>
  </c:txPr>
  <c:externalData r:id="rId3">
    <c:autoUpdate val="0"/>
  </c:externalData>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off x="0" y="0"/>
          <a:ext cx="0" cy="0"/>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眞木 勇斗</dc:creator>
  <cp:lastModifiedBy>健康福祉課</cp:lastModifiedBy>
  <cp:revision>7</cp:revision>
  <cp:lastPrinted>2026-08-27T06:22:00Z</cp:lastPrinted>
  <dcterms:created xsi:type="dcterms:W3CDTF">2026-08-25T07:04:00Z</dcterms:created>
  <dcterms:modified xsi:type="dcterms:W3CDTF">2026-10-08T00:47:00Z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0x01010047D85A6DB80F2A459C42AAC34ED47096</vt:lpwstr>
  </property>
</Properties>
</file>